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42D83" w14:textId="09C5BEA4" w:rsidR="008A1132" w:rsidRDefault="00BD0F53" w:rsidP="003E5996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Academic Success </w:t>
      </w:r>
      <w:r w:rsidR="004465C2">
        <w:rPr>
          <w:rFonts w:asciiTheme="majorHAnsi" w:hAnsiTheme="majorHAnsi"/>
          <w:b/>
          <w:sz w:val="32"/>
          <w:szCs w:val="32"/>
        </w:rPr>
        <w:t>Steering Committee</w:t>
      </w:r>
      <w:r w:rsidR="00495E3C">
        <w:rPr>
          <w:rFonts w:asciiTheme="majorHAnsi" w:hAnsiTheme="majorHAnsi"/>
          <w:b/>
          <w:sz w:val="32"/>
          <w:szCs w:val="32"/>
        </w:rPr>
        <w:t xml:space="preserve"> Agenda</w:t>
      </w:r>
    </w:p>
    <w:p w14:paraId="4A72B940" w14:textId="2E39B680" w:rsidR="00FA6DF1" w:rsidRPr="00FA6DF1" w:rsidRDefault="008A1132" w:rsidP="00FA6DF1">
      <w:pPr>
        <w:jc w:val="center"/>
        <w:rPr>
          <w:rFonts w:asciiTheme="majorHAnsi" w:hAnsiTheme="majorHAnsi"/>
          <w:b/>
          <w:sz w:val="28"/>
          <w:szCs w:val="28"/>
        </w:rPr>
      </w:pPr>
      <w:r w:rsidRPr="00FA6DF1">
        <w:rPr>
          <w:rFonts w:asciiTheme="majorHAnsi" w:hAnsiTheme="majorHAnsi"/>
          <w:b/>
          <w:sz w:val="28"/>
          <w:szCs w:val="28"/>
        </w:rPr>
        <w:t xml:space="preserve">San Diego </w:t>
      </w:r>
      <w:r w:rsidR="003E5996" w:rsidRPr="00FA6DF1">
        <w:rPr>
          <w:rFonts w:asciiTheme="majorHAnsi" w:hAnsiTheme="majorHAnsi"/>
          <w:b/>
          <w:sz w:val="28"/>
          <w:szCs w:val="28"/>
        </w:rPr>
        <w:t>Miramar College</w:t>
      </w:r>
    </w:p>
    <w:p w14:paraId="3AD8FA4F" w14:textId="12A64B35" w:rsidR="003E5996" w:rsidRPr="00FA6DF1" w:rsidRDefault="000365F5" w:rsidP="008A0CFC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February</w:t>
      </w:r>
      <w:r w:rsidR="00327261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21</w:t>
      </w:r>
      <w:r w:rsidR="003E5F3F">
        <w:rPr>
          <w:rFonts w:asciiTheme="majorHAnsi" w:hAnsiTheme="majorHAnsi"/>
          <w:b/>
        </w:rPr>
        <w:t>,</w:t>
      </w:r>
      <w:r w:rsidR="00617A7E">
        <w:rPr>
          <w:rFonts w:asciiTheme="majorHAnsi" w:hAnsiTheme="majorHAnsi"/>
          <w:b/>
        </w:rPr>
        <w:t xml:space="preserve"> 2</w:t>
      </w:r>
      <w:r>
        <w:rPr>
          <w:rFonts w:asciiTheme="majorHAnsi" w:hAnsiTheme="majorHAnsi"/>
          <w:b/>
        </w:rPr>
        <w:t>020</w:t>
      </w:r>
      <w:r w:rsidR="001442B8">
        <w:rPr>
          <w:rFonts w:asciiTheme="majorHAnsi" w:hAnsiTheme="majorHAnsi"/>
          <w:b/>
        </w:rPr>
        <w:t xml:space="preserve"> ●</w:t>
      </w:r>
      <w:r w:rsidR="003E5996" w:rsidRPr="00FA6DF1">
        <w:rPr>
          <w:rFonts w:asciiTheme="majorHAnsi" w:hAnsiTheme="majorHAnsi"/>
          <w:b/>
        </w:rPr>
        <w:t xml:space="preserve"> Room </w:t>
      </w:r>
      <w:r w:rsidR="00FD41E2">
        <w:rPr>
          <w:rFonts w:asciiTheme="majorHAnsi" w:hAnsiTheme="majorHAnsi"/>
          <w:b/>
        </w:rPr>
        <w:t>L</w:t>
      </w:r>
      <w:r w:rsidR="000C16A0">
        <w:rPr>
          <w:rFonts w:asciiTheme="majorHAnsi" w:hAnsiTheme="majorHAnsi"/>
          <w:b/>
        </w:rPr>
        <w:t>-</w:t>
      </w:r>
      <w:r w:rsidR="00FD41E2">
        <w:rPr>
          <w:rFonts w:asciiTheme="majorHAnsi" w:hAnsiTheme="majorHAnsi"/>
          <w:b/>
        </w:rPr>
        <w:t>10</w:t>
      </w:r>
      <w:r w:rsidR="00EE029E">
        <w:rPr>
          <w:rFonts w:asciiTheme="majorHAnsi" w:hAnsiTheme="majorHAnsi"/>
          <w:b/>
        </w:rPr>
        <w:t>7</w:t>
      </w:r>
      <w:r w:rsidR="001442B8" w:rsidRPr="000C16A0">
        <w:rPr>
          <w:rFonts w:asciiTheme="majorHAnsi" w:hAnsiTheme="majorHAnsi"/>
          <w:b/>
        </w:rPr>
        <w:t xml:space="preserve"> </w:t>
      </w:r>
      <w:r w:rsidR="001442B8">
        <w:rPr>
          <w:rFonts w:asciiTheme="majorHAnsi" w:hAnsiTheme="majorHAnsi"/>
          <w:b/>
        </w:rPr>
        <w:t>●</w:t>
      </w:r>
      <w:r w:rsidR="003E5F3F">
        <w:rPr>
          <w:rFonts w:asciiTheme="majorHAnsi" w:hAnsiTheme="majorHAnsi"/>
          <w:b/>
        </w:rPr>
        <w:t xml:space="preserve"> </w:t>
      </w:r>
      <w:r w:rsidR="00FD41E2">
        <w:rPr>
          <w:rFonts w:asciiTheme="majorHAnsi" w:hAnsiTheme="majorHAnsi"/>
          <w:b/>
        </w:rPr>
        <w:t>1</w:t>
      </w:r>
      <w:r w:rsidR="003E5F3F" w:rsidRPr="004946E8">
        <w:rPr>
          <w:rFonts w:asciiTheme="majorHAnsi" w:hAnsiTheme="majorHAnsi"/>
          <w:b/>
        </w:rPr>
        <w:t>:</w:t>
      </w:r>
      <w:r w:rsidR="00191899">
        <w:rPr>
          <w:rFonts w:asciiTheme="majorHAnsi" w:hAnsiTheme="majorHAnsi"/>
          <w:b/>
        </w:rPr>
        <w:t>3</w:t>
      </w:r>
      <w:r w:rsidR="00FD41E2">
        <w:rPr>
          <w:rFonts w:asciiTheme="majorHAnsi" w:hAnsiTheme="majorHAnsi"/>
          <w:b/>
        </w:rPr>
        <w:t>0</w:t>
      </w:r>
      <w:r w:rsidR="00191899">
        <w:rPr>
          <w:rFonts w:asciiTheme="majorHAnsi" w:hAnsiTheme="majorHAnsi"/>
          <w:b/>
        </w:rPr>
        <w:t xml:space="preserve"> p.m. –</w:t>
      </w:r>
      <w:r w:rsidR="003E5F3F" w:rsidRPr="004946E8">
        <w:rPr>
          <w:rFonts w:asciiTheme="majorHAnsi" w:hAnsiTheme="majorHAnsi"/>
          <w:b/>
        </w:rPr>
        <w:t xml:space="preserve"> </w:t>
      </w:r>
      <w:r w:rsidR="00FD41E2">
        <w:rPr>
          <w:rFonts w:asciiTheme="majorHAnsi" w:hAnsiTheme="majorHAnsi"/>
          <w:b/>
        </w:rPr>
        <w:t>2</w:t>
      </w:r>
      <w:r w:rsidR="003E5F3F" w:rsidRPr="004946E8">
        <w:rPr>
          <w:rFonts w:asciiTheme="majorHAnsi" w:hAnsiTheme="majorHAnsi"/>
          <w:b/>
        </w:rPr>
        <w:t>:</w:t>
      </w:r>
      <w:r w:rsidR="00191899">
        <w:rPr>
          <w:rFonts w:asciiTheme="majorHAnsi" w:hAnsiTheme="majorHAnsi"/>
          <w:b/>
        </w:rPr>
        <w:t>3</w:t>
      </w:r>
      <w:r w:rsidR="00FD41E2">
        <w:rPr>
          <w:rFonts w:asciiTheme="majorHAnsi" w:hAnsiTheme="majorHAnsi"/>
          <w:b/>
        </w:rPr>
        <w:t>0</w:t>
      </w:r>
      <w:r w:rsidR="003E5F3F" w:rsidRPr="004946E8">
        <w:rPr>
          <w:rFonts w:asciiTheme="majorHAnsi" w:hAnsiTheme="majorHAnsi"/>
          <w:b/>
        </w:rPr>
        <w:t xml:space="preserve"> p</w:t>
      </w:r>
      <w:r w:rsidR="00191899">
        <w:rPr>
          <w:rFonts w:asciiTheme="majorHAnsi" w:hAnsiTheme="majorHAnsi"/>
          <w:b/>
        </w:rPr>
        <w:t>.</w:t>
      </w:r>
      <w:r w:rsidR="003E5F3F" w:rsidRPr="004946E8">
        <w:rPr>
          <w:rFonts w:asciiTheme="majorHAnsi" w:hAnsiTheme="majorHAnsi"/>
          <w:b/>
        </w:rPr>
        <w:t>m</w:t>
      </w:r>
      <w:r w:rsidR="00191899">
        <w:rPr>
          <w:rFonts w:asciiTheme="majorHAnsi" w:hAnsiTheme="majorHAnsi"/>
          <w:b/>
        </w:rPr>
        <w:t>.</w:t>
      </w:r>
    </w:p>
    <w:p w14:paraId="08241CF4" w14:textId="5A5597D0" w:rsidR="003E5996" w:rsidRDefault="00FA6DF1" w:rsidP="00FF405D">
      <w:pPr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6F186" wp14:editId="38E79D4F">
                <wp:simplePos x="0" y="0"/>
                <wp:positionH relativeFrom="column">
                  <wp:posOffset>304799</wp:posOffset>
                </wp:positionH>
                <wp:positionV relativeFrom="paragraph">
                  <wp:posOffset>96520</wp:posOffset>
                </wp:positionV>
                <wp:extent cx="6486525" cy="9525"/>
                <wp:effectExtent l="38100" t="38100" r="66675" b="857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6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26F44B3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pt,7.6pt" to="534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20ADE221" w14:textId="080F5BFD" w:rsidR="000E566B" w:rsidRPr="005D77F3" w:rsidRDefault="000E566B" w:rsidP="000E566B">
      <w:pPr>
        <w:ind w:left="360"/>
        <w:jc w:val="both"/>
        <w:rPr>
          <w:rFonts w:asciiTheme="majorHAnsi" w:hAnsiTheme="majorHAnsi"/>
          <w:sz w:val="20"/>
          <w:szCs w:val="20"/>
        </w:rPr>
      </w:pPr>
      <w:r w:rsidRPr="005D77F3">
        <w:rPr>
          <w:rFonts w:asciiTheme="majorHAnsi" w:hAnsiTheme="majorHAnsi"/>
          <w:b/>
          <w:sz w:val="20"/>
          <w:szCs w:val="20"/>
        </w:rPr>
        <w:t>Members:</w:t>
      </w:r>
      <w:r w:rsidRPr="005D77F3">
        <w:rPr>
          <w:rFonts w:asciiTheme="majorHAnsi" w:hAnsiTheme="majorHAnsi"/>
          <w:sz w:val="20"/>
          <w:szCs w:val="20"/>
        </w:rPr>
        <w:t xml:space="preserve">  </w:t>
      </w:r>
      <w:r>
        <w:rPr>
          <w:rFonts w:asciiTheme="majorHAnsi" w:hAnsiTheme="majorHAnsi"/>
          <w:sz w:val="20"/>
          <w:szCs w:val="20"/>
        </w:rPr>
        <w:t xml:space="preserve">Laura Murphy, </w:t>
      </w:r>
      <w:r w:rsidRPr="005D77F3">
        <w:rPr>
          <w:rFonts w:asciiTheme="majorHAnsi" w:hAnsiTheme="majorHAnsi"/>
          <w:sz w:val="20"/>
          <w:szCs w:val="20"/>
        </w:rPr>
        <w:t xml:space="preserve">Marie McMahon, </w:t>
      </w:r>
      <w:r w:rsidRPr="00E90841">
        <w:rPr>
          <w:rFonts w:asciiTheme="majorHAnsi" w:hAnsiTheme="majorHAnsi"/>
          <w:sz w:val="20"/>
          <w:szCs w:val="20"/>
        </w:rPr>
        <w:t xml:space="preserve">Adrian Gonzales, </w:t>
      </w:r>
      <w:r w:rsidRPr="005D77F3">
        <w:rPr>
          <w:rFonts w:asciiTheme="majorHAnsi" w:hAnsiTheme="majorHAnsi"/>
          <w:sz w:val="20"/>
          <w:szCs w:val="20"/>
        </w:rPr>
        <w:t xml:space="preserve">Daniel </w:t>
      </w:r>
      <w:proofErr w:type="spellStart"/>
      <w:r w:rsidRPr="005D77F3">
        <w:rPr>
          <w:rFonts w:asciiTheme="majorHAnsi" w:hAnsiTheme="majorHAnsi"/>
          <w:sz w:val="20"/>
          <w:szCs w:val="20"/>
        </w:rPr>
        <w:t>Miramontez</w:t>
      </w:r>
      <w:proofErr w:type="spellEnd"/>
      <w:r w:rsidRPr="005D77F3">
        <w:rPr>
          <w:rFonts w:asciiTheme="majorHAnsi" w:hAnsiTheme="majorHAnsi"/>
          <w:sz w:val="20"/>
          <w:szCs w:val="20"/>
        </w:rPr>
        <w:t xml:space="preserve">, </w:t>
      </w:r>
      <w:r>
        <w:rPr>
          <w:rFonts w:asciiTheme="majorHAnsi" w:hAnsiTheme="majorHAnsi"/>
          <w:sz w:val="20"/>
          <w:szCs w:val="20"/>
        </w:rPr>
        <w:t>Nessa Julian</w:t>
      </w:r>
      <w:r w:rsidRPr="005D77F3">
        <w:rPr>
          <w:rFonts w:asciiTheme="majorHAnsi" w:hAnsiTheme="majorHAnsi"/>
          <w:sz w:val="20"/>
          <w:szCs w:val="20"/>
        </w:rPr>
        <w:t xml:space="preserve">, Donnie Tran, Francine </w:t>
      </w:r>
      <w:proofErr w:type="spellStart"/>
      <w:r w:rsidRPr="005D77F3">
        <w:rPr>
          <w:rFonts w:asciiTheme="majorHAnsi" w:hAnsiTheme="majorHAnsi"/>
          <w:sz w:val="20"/>
          <w:szCs w:val="20"/>
        </w:rPr>
        <w:t>McCorkell</w:t>
      </w:r>
      <w:proofErr w:type="spellEnd"/>
      <w:r w:rsidRPr="005D77F3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5D77F3">
        <w:rPr>
          <w:rFonts w:asciiTheme="majorHAnsi" w:hAnsiTheme="majorHAnsi"/>
          <w:sz w:val="20"/>
          <w:szCs w:val="20"/>
        </w:rPr>
        <w:t>Reylyn</w:t>
      </w:r>
      <w:proofErr w:type="spellEnd"/>
      <w:r w:rsidRPr="005D77F3">
        <w:rPr>
          <w:rFonts w:asciiTheme="majorHAnsi" w:hAnsiTheme="majorHAnsi"/>
          <w:sz w:val="20"/>
          <w:szCs w:val="20"/>
        </w:rPr>
        <w:t xml:space="preserve"> Cabrera, Kenneth </w:t>
      </w:r>
      <w:proofErr w:type="spellStart"/>
      <w:r w:rsidRPr="005D77F3">
        <w:rPr>
          <w:rFonts w:asciiTheme="majorHAnsi" w:hAnsiTheme="majorHAnsi"/>
          <w:sz w:val="20"/>
          <w:szCs w:val="20"/>
        </w:rPr>
        <w:t>Reinstein</w:t>
      </w:r>
      <w:proofErr w:type="spellEnd"/>
      <w:r w:rsidRPr="005D77F3">
        <w:rPr>
          <w:rFonts w:asciiTheme="majorHAnsi" w:hAnsiTheme="majorHAnsi"/>
          <w:sz w:val="20"/>
          <w:szCs w:val="20"/>
        </w:rPr>
        <w:t xml:space="preserve">, Allen </w:t>
      </w:r>
      <w:r w:rsidRPr="00E90841">
        <w:rPr>
          <w:rFonts w:asciiTheme="majorHAnsi" w:hAnsiTheme="majorHAnsi"/>
          <w:sz w:val="20"/>
          <w:szCs w:val="20"/>
        </w:rPr>
        <w:t>Andersen, Becky Stephens, Paulette Hopkins, Xi Zhang, Sh</w:t>
      </w:r>
      <w:r w:rsidR="00B85032">
        <w:rPr>
          <w:rFonts w:asciiTheme="majorHAnsi" w:hAnsiTheme="majorHAnsi"/>
          <w:sz w:val="20"/>
          <w:szCs w:val="20"/>
        </w:rPr>
        <w:t xml:space="preserve">awn Hurley, </w:t>
      </w:r>
      <w:r w:rsidRPr="00E90841">
        <w:rPr>
          <w:rFonts w:asciiTheme="majorHAnsi" w:hAnsiTheme="majorHAnsi"/>
          <w:sz w:val="20"/>
          <w:szCs w:val="20"/>
        </w:rPr>
        <w:t xml:space="preserve">Anne </w:t>
      </w:r>
      <w:proofErr w:type="spellStart"/>
      <w:r w:rsidRPr="00E90841">
        <w:rPr>
          <w:rFonts w:asciiTheme="majorHAnsi" w:hAnsiTheme="majorHAnsi"/>
          <w:sz w:val="20"/>
          <w:szCs w:val="20"/>
        </w:rPr>
        <w:t>Gloag</w:t>
      </w:r>
      <w:proofErr w:type="spellEnd"/>
      <w:r w:rsidRPr="00E90841">
        <w:rPr>
          <w:rFonts w:asciiTheme="majorHAnsi" w:hAnsiTheme="majorHAnsi"/>
          <w:sz w:val="20"/>
          <w:szCs w:val="20"/>
        </w:rPr>
        <w:t>, François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Bereaud</w:t>
      </w:r>
      <w:proofErr w:type="spellEnd"/>
      <w:r>
        <w:rPr>
          <w:rFonts w:asciiTheme="majorHAnsi" w:hAnsiTheme="majorHAnsi"/>
          <w:sz w:val="20"/>
          <w:szCs w:val="20"/>
        </w:rPr>
        <w:t xml:space="preserve">, Carmen Jay, Clarissa Padilla, </w:t>
      </w:r>
      <w:proofErr w:type="spellStart"/>
      <w:r>
        <w:rPr>
          <w:rFonts w:asciiTheme="majorHAnsi" w:hAnsiTheme="majorHAnsi"/>
          <w:sz w:val="20"/>
          <w:szCs w:val="20"/>
        </w:rPr>
        <w:t>Sayeh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Dehestani</w:t>
      </w:r>
      <w:bookmarkStart w:id="0" w:name="_GoBack"/>
      <w:bookmarkEnd w:id="0"/>
      <w:proofErr w:type="spellEnd"/>
    </w:p>
    <w:p w14:paraId="7BD090F2" w14:textId="77777777" w:rsidR="003E4AEB" w:rsidRPr="005D77F3" w:rsidRDefault="003E4AEB" w:rsidP="003E5F3F">
      <w:pPr>
        <w:ind w:left="360"/>
        <w:rPr>
          <w:rFonts w:asciiTheme="majorHAnsi" w:hAnsiTheme="majorHAnsi"/>
          <w:sz w:val="20"/>
          <w:szCs w:val="20"/>
        </w:rPr>
      </w:pPr>
    </w:p>
    <w:p w14:paraId="6C80F133" w14:textId="314DF41C" w:rsidR="003E5996" w:rsidRPr="005D77F3" w:rsidRDefault="00FF405D" w:rsidP="003E0269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5D77F3">
        <w:rPr>
          <w:rFonts w:asciiTheme="majorHAnsi" w:hAnsiTheme="majorHAnsi"/>
        </w:rPr>
        <w:t>Call to Order</w:t>
      </w:r>
    </w:p>
    <w:p w14:paraId="30837AC7" w14:textId="791761AE" w:rsidR="003035E5" w:rsidRPr="005D77F3" w:rsidRDefault="00FF405D" w:rsidP="003526FF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5D77F3">
        <w:rPr>
          <w:rFonts w:asciiTheme="majorHAnsi" w:hAnsiTheme="majorHAnsi"/>
        </w:rPr>
        <w:t>A</w:t>
      </w:r>
      <w:r w:rsidR="003035E5" w:rsidRPr="005D77F3">
        <w:rPr>
          <w:rFonts w:asciiTheme="majorHAnsi" w:hAnsiTheme="majorHAnsi"/>
        </w:rPr>
        <w:t>doption</w:t>
      </w:r>
      <w:r w:rsidR="00B91B16" w:rsidRPr="005D77F3">
        <w:rPr>
          <w:rFonts w:asciiTheme="majorHAnsi" w:hAnsiTheme="majorHAnsi"/>
        </w:rPr>
        <w:t xml:space="preserve"> of Agenda </w:t>
      </w:r>
    </w:p>
    <w:p w14:paraId="1FEBDD2A" w14:textId="4F0497D9" w:rsidR="003526FF" w:rsidRPr="005D77F3" w:rsidRDefault="003035E5" w:rsidP="003526FF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5D77F3">
        <w:rPr>
          <w:rFonts w:asciiTheme="majorHAnsi" w:hAnsiTheme="majorHAnsi"/>
        </w:rPr>
        <w:t xml:space="preserve">Approval of </w:t>
      </w:r>
      <w:r w:rsidR="00B91B16" w:rsidRPr="005D77F3">
        <w:rPr>
          <w:rFonts w:asciiTheme="majorHAnsi" w:hAnsiTheme="majorHAnsi"/>
        </w:rPr>
        <w:t>Minutes</w:t>
      </w:r>
      <w:r w:rsidR="005A378A">
        <w:rPr>
          <w:rFonts w:asciiTheme="majorHAnsi" w:hAnsiTheme="majorHAnsi"/>
        </w:rPr>
        <w:t xml:space="preserve"> (tabled until March 20</w:t>
      </w:r>
      <w:r w:rsidR="005A378A" w:rsidRPr="005A378A">
        <w:rPr>
          <w:rFonts w:asciiTheme="majorHAnsi" w:hAnsiTheme="majorHAnsi"/>
          <w:vertAlign w:val="superscript"/>
        </w:rPr>
        <w:t>th</w:t>
      </w:r>
      <w:r w:rsidR="005A378A">
        <w:rPr>
          <w:rFonts w:asciiTheme="majorHAnsi" w:hAnsiTheme="majorHAnsi"/>
        </w:rPr>
        <w:t xml:space="preserve"> meeting)</w:t>
      </w:r>
    </w:p>
    <w:p w14:paraId="41F7AD25" w14:textId="77777777" w:rsidR="003E5996" w:rsidRPr="00FF405D" w:rsidRDefault="003E5996" w:rsidP="003E5996">
      <w:pPr>
        <w:pStyle w:val="ListParagraph"/>
        <w:rPr>
          <w:rFonts w:asciiTheme="majorHAnsi" w:hAnsiTheme="majorHAnsi"/>
        </w:rPr>
      </w:pPr>
    </w:p>
    <w:p w14:paraId="1847AD60" w14:textId="3C79ED66" w:rsidR="003E5996" w:rsidRDefault="00183DCF" w:rsidP="003E5996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New Business</w:t>
      </w:r>
      <w:r w:rsidR="000E3821">
        <w:rPr>
          <w:rFonts w:asciiTheme="majorHAnsi" w:hAnsiTheme="majorHAnsi"/>
        </w:rPr>
        <w:t>:</w:t>
      </w:r>
    </w:p>
    <w:tbl>
      <w:tblPr>
        <w:tblStyle w:val="TableGrid"/>
        <w:tblW w:w="1027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58"/>
        <w:gridCol w:w="5197"/>
        <w:gridCol w:w="1260"/>
        <w:gridCol w:w="1350"/>
        <w:gridCol w:w="1913"/>
      </w:tblGrid>
      <w:tr w:rsidR="000E3821" w:rsidRPr="00FD41E2" w14:paraId="3057AD17" w14:textId="77777777" w:rsidTr="00162E9C">
        <w:trPr>
          <w:trHeight w:val="503"/>
        </w:trPr>
        <w:tc>
          <w:tcPr>
            <w:tcW w:w="558" w:type="dxa"/>
          </w:tcPr>
          <w:p w14:paraId="0C3E8925" w14:textId="77777777" w:rsidR="000E3821" w:rsidRPr="00FD41E2" w:rsidRDefault="000E3821" w:rsidP="006647F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D41E2">
              <w:rPr>
                <w:rFonts w:asciiTheme="majorHAnsi" w:hAnsiTheme="majorHAnsi"/>
                <w:b/>
                <w:sz w:val="20"/>
                <w:szCs w:val="20"/>
              </w:rPr>
              <w:t>#</w:t>
            </w:r>
          </w:p>
        </w:tc>
        <w:tc>
          <w:tcPr>
            <w:tcW w:w="5197" w:type="dxa"/>
          </w:tcPr>
          <w:p w14:paraId="5620050A" w14:textId="7962D079" w:rsidR="000E3821" w:rsidRPr="00FD41E2" w:rsidRDefault="000E3821" w:rsidP="006647F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D41E2">
              <w:rPr>
                <w:rFonts w:asciiTheme="majorHAnsi" w:hAnsiTheme="majorHAnsi"/>
                <w:b/>
                <w:sz w:val="20"/>
                <w:szCs w:val="20"/>
              </w:rPr>
              <w:t>Item</w:t>
            </w:r>
            <w:r w:rsidR="000B5289">
              <w:rPr>
                <w:rFonts w:asciiTheme="majorHAnsi" w:hAnsiTheme="majorHAnsi"/>
                <w:b/>
                <w:sz w:val="20"/>
                <w:szCs w:val="20"/>
              </w:rPr>
              <w:t>s</w:t>
            </w:r>
          </w:p>
        </w:tc>
        <w:tc>
          <w:tcPr>
            <w:tcW w:w="1260" w:type="dxa"/>
          </w:tcPr>
          <w:p w14:paraId="256E3E1B" w14:textId="5EE49888" w:rsidR="000E3821" w:rsidRPr="00FD41E2" w:rsidRDefault="000E3821" w:rsidP="006647F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D41E2">
              <w:rPr>
                <w:rFonts w:asciiTheme="majorHAnsi" w:hAnsiTheme="majorHAnsi"/>
                <w:b/>
                <w:sz w:val="20"/>
                <w:szCs w:val="20"/>
              </w:rPr>
              <w:t>Strategic Goal</w:t>
            </w:r>
            <w:r w:rsidR="000B5289"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 w:rsidRPr="00FD41E2">
              <w:rPr>
                <w:rFonts w:asciiTheme="majorHAnsi" w:hAnsiTheme="majorHAnsi"/>
                <w:b/>
                <w:sz w:val="20"/>
                <w:szCs w:val="20"/>
              </w:rPr>
              <w:t>*</w:t>
            </w:r>
          </w:p>
        </w:tc>
        <w:tc>
          <w:tcPr>
            <w:tcW w:w="1350" w:type="dxa"/>
          </w:tcPr>
          <w:p w14:paraId="115153C0" w14:textId="02BC8CE0" w:rsidR="000E3821" w:rsidRPr="00FD41E2" w:rsidRDefault="000E3821" w:rsidP="006647F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D41E2">
              <w:rPr>
                <w:rFonts w:asciiTheme="majorHAnsi" w:hAnsiTheme="majorHAnsi"/>
                <w:b/>
                <w:sz w:val="20"/>
                <w:szCs w:val="20"/>
              </w:rPr>
              <w:t>Accreditation Standard</w:t>
            </w:r>
            <w:r w:rsidR="000B5289"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 w:rsidRPr="00FD41E2">
              <w:rPr>
                <w:rFonts w:asciiTheme="majorHAnsi" w:hAnsiTheme="majorHAnsi"/>
                <w:b/>
                <w:sz w:val="20"/>
                <w:szCs w:val="20"/>
              </w:rPr>
              <w:t>**</w:t>
            </w:r>
          </w:p>
        </w:tc>
        <w:tc>
          <w:tcPr>
            <w:tcW w:w="1913" w:type="dxa"/>
          </w:tcPr>
          <w:p w14:paraId="78069A3A" w14:textId="77777777" w:rsidR="000E3821" w:rsidRPr="00FD41E2" w:rsidRDefault="000E3821" w:rsidP="006647F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D41E2">
              <w:rPr>
                <w:rFonts w:asciiTheme="majorHAnsi" w:hAnsiTheme="majorHAnsi"/>
                <w:b/>
                <w:sz w:val="20"/>
                <w:szCs w:val="20"/>
              </w:rPr>
              <w:t>Initiator</w:t>
            </w:r>
          </w:p>
        </w:tc>
      </w:tr>
      <w:tr w:rsidR="0043703D" w:rsidRPr="00FD41E2" w14:paraId="4CDD6AD5" w14:textId="77777777" w:rsidTr="00162E9C">
        <w:tc>
          <w:tcPr>
            <w:tcW w:w="558" w:type="dxa"/>
          </w:tcPr>
          <w:p w14:paraId="274F824D" w14:textId="6DC77094" w:rsidR="0043703D" w:rsidRPr="00FD41E2" w:rsidRDefault="0043703D" w:rsidP="0043703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5197" w:type="dxa"/>
          </w:tcPr>
          <w:p w14:paraId="30468A2F" w14:textId="041333CD" w:rsidR="0043703D" w:rsidRDefault="004461EA" w:rsidP="0043703D">
            <w:pPr>
              <w:pStyle w:val="ListParagraph"/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Update on CIA process</w:t>
            </w:r>
          </w:p>
        </w:tc>
        <w:tc>
          <w:tcPr>
            <w:tcW w:w="1260" w:type="dxa"/>
          </w:tcPr>
          <w:p w14:paraId="1D2FE81F" w14:textId="2ABE1528" w:rsidR="0043703D" w:rsidRPr="00FD41E2" w:rsidRDefault="0043703D" w:rsidP="0043703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I, II, III</w:t>
            </w:r>
          </w:p>
        </w:tc>
        <w:tc>
          <w:tcPr>
            <w:tcW w:w="1350" w:type="dxa"/>
          </w:tcPr>
          <w:p w14:paraId="51E8A5D5" w14:textId="593E631E" w:rsidR="0043703D" w:rsidRPr="00FD41E2" w:rsidRDefault="0043703D" w:rsidP="0043703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I, II, IV</w:t>
            </w:r>
          </w:p>
        </w:tc>
        <w:tc>
          <w:tcPr>
            <w:tcW w:w="1913" w:type="dxa"/>
          </w:tcPr>
          <w:p w14:paraId="652EBB89" w14:textId="66C307CC" w:rsidR="0043703D" w:rsidRPr="00C2045C" w:rsidRDefault="00C2045C" w:rsidP="00C2045C">
            <w:pPr>
              <w:jc w:val="center"/>
              <w:rPr>
                <w:rFonts w:asciiTheme="majorHAnsi" w:hAnsiTheme="majorHAnsi"/>
              </w:rPr>
            </w:pPr>
            <w:r w:rsidRPr="00C2045C">
              <w:rPr>
                <w:rFonts w:asciiTheme="majorHAnsi" w:hAnsiTheme="majorHAnsi"/>
              </w:rPr>
              <w:t>M</w:t>
            </w:r>
            <w:r w:rsidR="00EE029E">
              <w:rPr>
                <w:rFonts w:asciiTheme="majorHAnsi" w:hAnsiTheme="majorHAnsi"/>
              </w:rPr>
              <w:t>cMahon</w:t>
            </w:r>
          </w:p>
        </w:tc>
      </w:tr>
      <w:tr w:rsidR="0043703D" w:rsidRPr="00FD41E2" w14:paraId="307249AC" w14:textId="77777777" w:rsidTr="00162E9C">
        <w:tc>
          <w:tcPr>
            <w:tcW w:w="558" w:type="dxa"/>
          </w:tcPr>
          <w:p w14:paraId="6962A020" w14:textId="6516D315" w:rsidR="0043703D" w:rsidRDefault="0043703D" w:rsidP="0043703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5197" w:type="dxa"/>
          </w:tcPr>
          <w:p w14:paraId="07A5D86D" w14:textId="34821952" w:rsidR="0043703D" w:rsidRPr="00EE029E" w:rsidRDefault="00EE029E" w:rsidP="00EE029E">
            <w:pPr>
              <w:pStyle w:val="ListParagraph"/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Tutoring schedules and summer</w:t>
            </w:r>
          </w:p>
        </w:tc>
        <w:tc>
          <w:tcPr>
            <w:tcW w:w="1260" w:type="dxa"/>
          </w:tcPr>
          <w:p w14:paraId="006C7730" w14:textId="2D7E5454" w:rsidR="0043703D" w:rsidRDefault="0043703D" w:rsidP="0043703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I, II, III</w:t>
            </w:r>
          </w:p>
        </w:tc>
        <w:tc>
          <w:tcPr>
            <w:tcW w:w="1350" w:type="dxa"/>
          </w:tcPr>
          <w:p w14:paraId="5C2518A5" w14:textId="6275F673" w:rsidR="0043703D" w:rsidRDefault="0043703D" w:rsidP="0043703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I, II, IV</w:t>
            </w:r>
          </w:p>
        </w:tc>
        <w:tc>
          <w:tcPr>
            <w:tcW w:w="1913" w:type="dxa"/>
          </w:tcPr>
          <w:p w14:paraId="162F523A" w14:textId="3CB4C573" w:rsidR="0043703D" w:rsidRDefault="00EE029E" w:rsidP="0043703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Julian</w:t>
            </w:r>
          </w:p>
        </w:tc>
      </w:tr>
      <w:tr w:rsidR="0043703D" w:rsidRPr="00FD41E2" w14:paraId="77D12F6B" w14:textId="77777777" w:rsidTr="00162E9C">
        <w:tc>
          <w:tcPr>
            <w:tcW w:w="558" w:type="dxa"/>
          </w:tcPr>
          <w:p w14:paraId="0F0AA2B1" w14:textId="4A5EEEE4" w:rsidR="0043703D" w:rsidRDefault="0043703D" w:rsidP="0043703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5197" w:type="dxa"/>
          </w:tcPr>
          <w:p w14:paraId="26100BE9" w14:textId="403A6E38" w:rsidR="0043703D" w:rsidRDefault="00EE029E" w:rsidP="0043703D">
            <w:pPr>
              <w:pStyle w:val="ListParagraph"/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Planning with PREDD</w:t>
            </w:r>
          </w:p>
        </w:tc>
        <w:tc>
          <w:tcPr>
            <w:tcW w:w="1260" w:type="dxa"/>
          </w:tcPr>
          <w:p w14:paraId="50A5B88B" w14:textId="049E4671" w:rsidR="0043703D" w:rsidRDefault="0043703D" w:rsidP="0043703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I, II, III</w:t>
            </w:r>
          </w:p>
        </w:tc>
        <w:tc>
          <w:tcPr>
            <w:tcW w:w="1350" w:type="dxa"/>
          </w:tcPr>
          <w:p w14:paraId="00A5909B" w14:textId="47010151" w:rsidR="0043703D" w:rsidRDefault="0043703D" w:rsidP="0043703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I, II, IV</w:t>
            </w:r>
          </w:p>
        </w:tc>
        <w:tc>
          <w:tcPr>
            <w:tcW w:w="1913" w:type="dxa"/>
          </w:tcPr>
          <w:p w14:paraId="6AA93132" w14:textId="20C12DD4" w:rsidR="0043703D" w:rsidRDefault="00EE029E" w:rsidP="0043703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Julian &amp; Tran</w:t>
            </w:r>
          </w:p>
        </w:tc>
      </w:tr>
      <w:tr w:rsidR="0043703D" w:rsidRPr="00FD41E2" w14:paraId="6E6B4D4B" w14:textId="77777777" w:rsidTr="00D164FF">
        <w:tc>
          <w:tcPr>
            <w:tcW w:w="558" w:type="dxa"/>
          </w:tcPr>
          <w:p w14:paraId="6798346E" w14:textId="77777777" w:rsidR="0043703D" w:rsidRDefault="0043703D" w:rsidP="0043703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5197" w:type="dxa"/>
          </w:tcPr>
          <w:p w14:paraId="55205F6A" w14:textId="4B5C300B" w:rsidR="0043703D" w:rsidRDefault="00EE029E" w:rsidP="0043703D">
            <w:pPr>
              <w:pStyle w:val="ListParagraph"/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  <w:r w:rsidR="007904C7">
              <w:rPr>
                <w:rFonts w:asciiTheme="majorHAnsi" w:hAnsiTheme="majorHAnsi"/>
              </w:rPr>
              <w:t xml:space="preserve">ther </w:t>
            </w:r>
            <w:r w:rsidR="0043703D">
              <w:rPr>
                <w:rFonts w:asciiTheme="majorHAnsi" w:hAnsiTheme="majorHAnsi"/>
              </w:rPr>
              <w:t xml:space="preserve">announcements </w:t>
            </w:r>
          </w:p>
        </w:tc>
        <w:tc>
          <w:tcPr>
            <w:tcW w:w="1260" w:type="dxa"/>
          </w:tcPr>
          <w:p w14:paraId="55F93E39" w14:textId="77777777" w:rsidR="0043703D" w:rsidRDefault="0043703D" w:rsidP="0043703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I, II, III</w:t>
            </w:r>
          </w:p>
        </w:tc>
        <w:tc>
          <w:tcPr>
            <w:tcW w:w="1350" w:type="dxa"/>
          </w:tcPr>
          <w:p w14:paraId="55D4ECF1" w14:textId="77777777" w:rsidR="0043703D" w:rsidRDefault="0043703D" w:rsidP="0043703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I, II, IV</w:t>
            </w:r>
          </w:p>
        </w:tc>
        <w:tc>
          <w:tcPr>
            <w:tcW w:w="1913" w:type="dxa"/>
          </w:tcPr>
          <w:p w14:paraId="6492CA64" w14:textId="7611F0CA" w:rsidR="0043703D" w:rsidRDefault="00EE029E" w:rsidP="0043703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All</w:t>
            </w:r>
          </w:p>
        </w:tc>
      </w:tr>
    </w:tbl>
    <w:p w14:paraId="65F4FB7A" w14:textId="1F5CEFDE" w:rsidR="004922C1" w:rsidRPr="005D77F3" w:rsidRDefault="004922C1" w:rsidP="005D77F3">
      <w:pPr>
        <w:rPr>
          <w:rFonts w:asciiTheme="majorHAnsi" w:hAnsiTheme="majorHAnsi"/>
        </w:rPr>
      </w:pPr>
    </w:p>
    <w:p w14:paraId="4C689A11" w14:textId="63EB5F5B" w:rsidR="003035E5" w:rsidRDefault="003035E5" w:rsidP="003E5996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Adjournment</w:t>
      </w:r>
    </w:p>
    <w:p w14:paraId="3F883B7C" w14:textId="481F0684" w:rsidR="003B3B8B" w:rsidRPr="00FD3EF5" w:rsidRDefault="00AC7214" w:rsidP="003B3B8B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Next scheduled m</w:t>
      </w:r>
      <w:r w:rsidR="00FF405D" w:rsidRPr="00FF405D">
        <w:rPr>
          <w:rFonts w:asciiTheme="majorHAnsi" w:hAnsiTheme="majorHAnsi"/>
        </w:rPr>
        <w:t>eeting:</w:t>
      </w:r>
      <w:r w:rsidR="006034C6">
        <w:rPr>
          <w:rFonts w:asciiTheme="majorHAnsi" w:hAnsiTheme="majorHAnsi"/>
        </w:rPr>
        <w:t xml:space="preserve"> </w:t>
      </w:r>
      <w:r w:rsidR="001F361E">
        <w:rPr>
          <w:rFonts w:asciiTheme="majorHAnsi" w:hAnsiTheme="majorHAnsi"/>
        </w:rPr>
        <w:t xml:space="preserve"> </w:t>
      </w:r>
      <w:r w:rsidR="0068210B">
        <w:rPr>
          <w:rFonts w:asciiTheme="majorHAnsi" w:hAnsiTheme="majorHAnsi"/>
        </w:rPr>
        <w:t>Fri</w:t>
      </w:r>
      <w:r>
        <w:rPr>
          <w:rFonts w:asciiTheme="majorHAnsi" w:hAnsiTheme="majorHAnsi"/>
        </w:rPr>
        <w:t>day</w:t>
      </w:r>
      <w:r w:rsidR="008B3B65">
        <w:rPr>
          <w:rFonts w:asciiTheme="majorHAnsi" w:hAnsiTheme="majorHAnsi"/>
        </w:rPr>
        <w:t>,</w:t>
      </w:r>
      <w:r w:rsidR="00580A00">
        <w:rPr>
          <w:rFonts w:asciiTheme="majorHAnsi" w:hAnsiTheme="majorHAnsi"/>
        </w:rPr>
        <w:t xml:space="preserve"> March 20, 2020</w:t>
      </w:r>
      <w:r w:rsidR="00AE5623">
        <w:rPr>
          <w:rFonts w:asciiTheme="majorHAnsi" w:hAnsiTheme="majorHAnsi"/>
        </w:rPr>
        <w:t>,</w:t>
      </w:r>
      <w:r w:rsidR="0068210B">
        <w:rPr>
          <w:rFonts w:asciiTheme="majorHAnsi" w:hAnsiTheme="majorHAnsi"/>
        </w:rPr>
        <w:t xml:space="preserve"> 1:30 p.m.-2:3</w:t>
      </w:r>
      <w:r w:rsidR="00580A00">
        <w:rPr>
          <w:rFonts w:asciiTheme="majorHAnsi" w:hAnsiTheme="majorHAnsi"/>
        </w:rPr>
        <w:t>0 p.m., Room:  L-107</w:t>
      </w:r>
    </w:p>
    <w:p w14:paraId="634F27E1" w14:textId="77777777" w:rsidR="00FD41E2" w:rsidRDefault="00FD41E2" w:rsidP="00FF405D">
      <w:pPr>
        <w:rPr>
          <w:rFonts w:asciiTheme="majorHAnsi" w:hAnsiTheme="majorHAnsi"/>
        </w:rPr>
      </w:pPr>
    </w:p>
    <w:p w14:paraId="15CD750E" w14:textId="0DB9A35C" w:rsidR="003E0269" w:rsidRDefault="003E0269" w:rsidP="00FF405D">
      <w:pPr>
        <w:rPr>
          <w:rFonts w:asciiTheme="majorHAnsi" w:hAnsiTheme="majorHAnsi"/>
        </w:rPr>
      </w:pPr>
      <w:r>
        <w:rPr>
          <w:rFonts w:asciiTheme="majorHAnsi" w:hAnsiTheme="majorHAns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CCB5A" wp14:editId="16487E90">
                <wp:simplePos x="0" y="0"/>
                <wp:positionH relativeFrom="column">
                  <wp:posOffset>218440</wp:posOffset>
                </wp:positionH>
                <wp:positionV relativeFrom="paragraph">
                  <wp:posOffset>66675</wp:posOffset>
                </wp:positionV>
                <wp:extent cx="6486525" cy="9525"/>
                <wp:effectExtent l="38100" t="38100" r="66675" b="857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6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AB5ABCD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pt,5.25pt" to="527.9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06DBF99" w14:textId="77777777" w:rsidR="001F361E" w:rsidRDefault="00FA6DF1" w:rsidP="001F361E">
      <w:pPr>
        <w:rPr>
          <w:rFonts w:asciiTheme="majorHAnsi" w:hAnsiTheme="majorHAnsi"/>
          <w:b/>
          <w:bCs/>
        </w:rPr>
      </w:pPr>
      <w:r w:rsidRPr="00FA6DF1">
        <w:rPr>
          <w:rFonts w:asciiTheme="majorHAnsi" w:hAnsiTheme="majorHAnsi"/>
        </w:rPr>
        <w:t xml:space="preserve">* </w:t>
      </w:r>
      <w:hyperlink r:id="rId5" w:history="1">
        <w:r w:rsidR="001F361E" w:rsidRPr="009D37BF">
          <w:rPr>
            <w:rStyle w:val="Hyperlink"/>
            <w:rFonts w:asciiTheme="majorHAnsi" w:hAnsiTheme="majorHAnsi"/>
            <w:b/>
            <w:bCs/>
          </w:rPr>
          <w:t>San Diego Miramar College 2013 – 2020 Strategic Plan Goals</w:t>
        </w:r>
      </w:hyperlink>
      <w:r w:rsidR="001F361E">
        <w:rPr>
          <w:rFonts w:asciiTheme="majorHAnsi" w:hAnsiTheme="majorHAnsi"/>
          <w:b/>
          <w:bCs/>
        </w:rPr>
        <w:t xml:space="preserve"> </w:t>
      </w:r>
    </w:p>
    <w:p w14:paraId="4E2E08D7" w14:textId="55ED6CA4" w:rsidR="003E0269" w:rsidRDefault="00205E1F" w:rsidP="003E0269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I</w:t>
      </w:r>
      <w:r w:rsidR="00FA6DF1" w:rsidRPr="00FA6DF1">
        <w:rPr>
          <w:rFonts w:asciiTheme="majorHAnsi" w:hAnsiTheme="majorHAnsi"/>
          <w:b/>
          <w:bCs/>
        </w:rPr>
        <w:t xml:space="preserve">: </w:t>
      </w:r>
      <w:r w:rsidR="00FA6DF1" w:rsidRPr="00FA6DF1">
        <w:rPr>
          <w:rFonts w:asciiTheme="majorHAnsi" w:hAnsiTheme="majorHAnsi"/>
        </w:rPr>
        <w:t>Provide educational programs and services that are responsiv</w:t>
      </w:r>
      <w:r w:rsidR="003E0269">
        <w:rPr>
          <w:rFonts w:asciiTheme="majorHAnsi" w:hAnsiTheme="majorHAnsi"/>
        </w:rPr>
        <w:t xml:space="preserve">e to change and support student </w:t>
      </w:r>
      <w:r w:rsidR="00FA6DF1" w:rsidRPr="00FA6DF1">
        <w:rPr>
          <w:rFonts w:asciiTheme="majorHAnsi" w:hAnsiTheme="majorHAnsi"/>
        </w:rPr>
        <w:t xml:space="preserve">learning and success. </w:t>
      </w:r>
    </w:p>
    <w:p w14:paraId="35BA55AD" w14:textId="27DC1D72" w:rsidR="003E0269" w:rsidRDefault="00205E1F" w:rsidP="003E0269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II</w:t>
      </w:r>
      <w:r w:rsidR="00FA6DF1" w:rsidRPr="00FA6DF1">
        <w:rPr>
          <w:rFonts w:asciiTheme="majorHAnsi" w:hAnsiTheme="majorHAnsi"/>
          <w:b/>
          <w:bCs/>
        </w:rPr>
        <w:t xml:space="preserve">: </w:t>
      </w:r>
      <w:r w:rsidR="00FA6DF1" w:rsidRPr="00FA6DF1">
        <w:rPr>
          <w:rFonts w:asciiTheme="majorHAnsi" w:hAnsiTheme="majorHAnsi"/>
        </w:rPr>
        <w:t xml:space="preserve">Deliver educational programs and services in formats and at locations that meet student needs. </w:t>
      </w:r>
    </w:p>
    <w:p w14:paraId="2B6A2ABF" w14:textId="56BA86A3" w:rsidR="003E0269" w:rsidRDefault="00205E1F" w:rsidP="003E0269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III</w:t>
      </w:r>
      <w:r w:rsidR="00FA6DF1" w:rsidRPr="00FA6DF1">
        <w:rPr>
          <w:rFonts w:asciiTheme="majorHAnsi" w:hAnsiTheme="majorHAnsi"/>
          <w:b/>
          <w:bCs/>
        </w:rPr>
        <w:t xml:space="preserve">: </w:t>
      </w:r>
      <w:r w:rsidR="00FA6DF1" w:rsidRPr="00FA6DF1">
        <w:rPr>
          <w:rFonts w:asciiTheme="majorHAnsi" w:hAnsiTheme="majorHAnsi"/>
        </w:rPr>
        <w:t xml:space="preserve">Enhance the college experience for students and the community by providing student-centered programs, services and activities that celebrate diversity and sustainable practices. </w:t>
      </w:r>
    </w:p>
    <w:p w14:paraId="485A36FE" w14:textId="1E8DFCE4" w:rsidR="001F361E" w:rsidRDefault="00205E1F" w:rsidP="003E0269">
      <w:pPr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IV</w:t>
      </w:r>
      <w:r w:rsidR="00FA6DF1" w:rsidRPr="00FA6DF1">
        <w:rPr>
          <w:rFonts w:asciiTheme="majorHAnsi" w:hAnsiTheme="majorHAnsi"/>
          <w:b/>
          <w:bCs/>
        </w:rPr>
        <w:t xml:space="preserve">: </w:t>
      </w:r>
      <w:r w:rsidR="00FA6DF1" w:rsidRPr="00FA6DF1">
        <w:rPr>
          <w:rFonts w:asciiTheme="majorHAnsi" w:hAnsiTheme="majorHAnsi"/>
        </w:rPr>
        <w:t>Develop, strengthen and sustain beneficial partnerships with educational institutions, business a</w:t>
      </w:r>
      <w:r w:rsidR="00911E7C">
        <w:rPr>
          <w:rFonts w:asciiTheme="majorHAnsi" w:hAnsiTheme="majorHAnsi"/>
        </w:rPr>
        <w:t>nd industry, and our community.</w:t>
      </w:r>
    </w:p>
    <w:p w14:paraId="70D62AA5" w14:textId="524DC31C" w:rsidR="006A0341" w:rsidRPr="00BB11F1" w:rsidRDefault="001247FC" w:rsidP="00BB11F1">
      <w:pPr>
        <w:jc w:val="center"/>
        <w:rPr>
          <w:rFonts w:asciiTheme="majorHAnsi" w:hAnsiTheme="majorHAnsi"/>
          <w:i/>
        </w:rPr>
      </w:pPr>
      <w:r w:rsidRPr="00BB11F1">
        <w:rPr>
          <w:rFonts w:asciiTheme="majorHAnsi" w:hAnsiTheme="majorHAnsi"/>
          <w:i/>
        </w:rPr>
        <w:t>Link to Gover</w:t>
      </w:r>
      <w:r w:rsidR="0074521A" w:rsidRPr="00BB11F1">
        <w:rPr>
          <w:rFonts w:asciiTheme="majorHAnsi" w:hAnsiTheme="majorHAnsi"/>
          <w:i/>
        </w:rPr>
        <w:t>n</w:t>
      </w:r>
      <w:r w:rsidRPr="00BB11F1">
        <w:rPr>
          <w:rFonts w:asciiTheme="majorHAnsi" w:hAnsiTheme="majorHAnsi"/>
          <w:i/>
        </w:rPr>
        <w:t xml:space="preserve">ance:  </w:t>
      </w:r>
      <w:hyperlink r:id="rId6" w:history="1">
        <w:r w:rsidR="0074521A" w:rsidRPr="00BB11F1">
          <w:rPr>
            <w:rStyle w:val="Hyperlink"/>
            <w:rFonts w:asciiTheme="majorHAnsi" w:hAnsiTheme="majorHAnsi"/>
            <w:i/>
          </w:rPr>
          <w:t>http://www1.sdmiramar.edu/webfm_send/15589</w:t>
        </w:r>
      </w:hyperlink>
    </w:p>
    <w:sectPr w:rsidR="006A0341" w:rsidRPr="00BB11F1" w:rsidSect="00CF7BC2">
      <w:pgSz w:w="12240" w:h="15840"/>
      <w:pgMar w:top="810" w:right="81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753"/>
    <w:multiLevelType w:val="hybridMultilevel"/>
    <w:tmpl w:val="ECA28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71F76"/>
    <w:multiLevelType w:val="hybridMultilevel"/>
    <w:tmpl w:val="471A1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A5571"/>
    <w:multiLevelType w:val="hybridMultilevel"/>
    <w:tmpl w:val="35D48F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70B8"/>
    <w:multiLevelType w:val="hybridMultilevel"/>
    <w:tmpl w:val="2264A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867377"/>
    <w:multiLevelType w:val="hybridMultilevel"/>
    <w:tmpl w:val="14321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E09AB"/>
    <w:multiLevelType w:val="hybridMultilevel"/>
    <w:tmpl w:val="1FEC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B311D"/>
    <w:multiLevelType w:val="hybridMultilevel"/>
    <w:tmpl w:val="C79C60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E70992"/>
    <w:multiLevelType w:val="hybridMultilevel"/>
    <w:tmpl w:val="52DE9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906BF"/>
    <w:multiLevelType w:val="hybridMultilevel"/>
    <w:tmpl w:val="49526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82AE9"/>
    <w:multiLevelType w:val="hybridMultilevel"/>
    <w:tmpl w:val="BB4A8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0573EC"/>
    <w:multiLevelType w:val="hybridMultilevel"/>
    <w:tmpl w:val="0C6C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E354B"/>
    <w:multiLevelType w:val="hybridMultilevel"/>
    <w:tmpl w:val="9E362F9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494D7B"/>
    <w:multiLevelType w:val="hybridMultilevel"/>
    <w:tmpl w:val="5EA677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C5C48CD"/>
    <w:multiLevelType w:val="hybridMultilevel"/>
    <w:tmpl w:val="4C20C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960D35"/>
    <w:multiLevelType w:val="hybridMultilevel"/>
    <w:tmpl w:val="C85AAA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A016E"/>
    <w:multiLevelType w:val="hybridMultilevel"/>
    <w:tmpl w:val="98347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826276"/>
    <w:multiLevelType w:val="hybridMultilevel"/>
    <w:tmpl w:val="45A8C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30B11"/>
    <w:multiLevelType w:val="hybridMultilevel"/>
    <w:tmpl w:val="7B865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C3521"/>
    <w:multiLevelType w:val="hybridMultilevel"/>
    <w:tmpl w:val="DB5E5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475FD"/>
    <w:multiLevelType w:val="hybridMultilevel"/>
    <w:tmpl w:val="94425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31B39"/>
    <w:multiLevelType w:val="hybridMultilevel"/>
    <w:tmpl w:val="3EA6BE5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77103D"/>
    <w:multiLevelType w:val="hybridMultilevel"/>
    <w:tmpl w:val="6F1CF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C3C49"/>
    <w:multiLevelType w:val="hybridMultilevel"/>
    <w:tmpl w:val="E0F23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B3601D"/>
    <w:multiLevelType w:val="hybridMultilevel"/>
    <w:tmpl w:val="15BE6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7770C"/>
    <w:multiLevelType w:val="hybridMultilevel"/>
    <w:tmpl w:val="456E20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C7043F"/>
    <w:multiLevelType w:val="hybridMultilevel"/>
    <w:tmpl w:val="12C21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8471D7"/>
    <w:multiLevelType w:val="hybridMultilevel"/>
    <w:tmpl w:val="450A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A7ED3"/>
    <w:multiLevelType w:val="hybridMultilevel"/>
    <w:tmpl w:val="4CEE9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6"/>
  </w:num>
  <w:num w:numId="4">
    <w:abstractNumId w:val="2"/>
  </w:num>
  <w:num w:numId="5">
    <w:abstractNumId w:val="21"/>
  </w:num>
  <w:num w:numId="6">
    <w:abstractNumId w:val="27"/>
  </w:num>
  <w:num w:numId="7">
    <w:abstractNumId w:val="11"/>
  </w:num>
  <w:num w:numId="8">
    <w:abstractNumId w:val="16"/>
  </w:num>
  <w:num w:numId="9">
    <w:abstractNumId w:val="7"/>
  </w:num>
  <w:num w:numId="10">
    <w:abstractNumId w:val="23"/>
  </w:num>
  <w:num w:numId="11">
    <w:abstractNumId w:val="19"/>
  </w:num>
  <w:num w:numId="12">
    <w:abstractNumId w:val="4"/>
  </w:num>
  <w:num w:numId="13">
    <w:abstractNumId w:val="25"/>
  </w:num>
  <w:num w:numId="14">
    <w:abstractNumId w:val="17"/>
  </w:num>
  <w:num w:numId="15">
    <w:abstractNumId w:val="15"/>
  </w:num>
  <w:num w:numId="16">
    <w:abstractNumId w:val="12"/>
  </w:num>
  <w:num w:numId="17">
    <w:abstractNumId w:val="1"/>
  </w:num>
  <w:num w:numId="18">
    <w:abstractNumId w:val="0"/>
  </w:num>
  <w:num w:numId="19">
    <w:abstractNumId w:val="5"/>
  </w:num>
  <w:num w:numId="20">
    <w:abstractNumId w:val="24"/>
  </w:num>
  <w:num w:numId="21">
    <w:abstractNumId w:val="22"/>
  </w:num>
  <w:num w:numId="22">
    <w:abstractNumId w:val="3"/>
  </w:num>
  <w:num w:numId="23">
    <w:abstractNumId w:val="13"/>
  </w:num>
  <w:num w:numId="24">
    <w:abstractNumId w:val="8"/>
  </w:num>
  <w:num w:numId="25">
    <w:abstractNumId w:val="10"/>
  </w:num>
  <w:num w:numId="26">
    <w:abstractNumId w:val="26"/>
  </w:num>
  <w:num w:numId="27">
    <w:abstractNumId w:val="9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5D"/>
    <w:rsid w:val="000163D7"/>
    <w:rsid w:val="000307AD"/>
    <w:rsid w:val="000365F5"/>
    <w:rsid w:val="00041238"/>
    <w:rsid w:val="00053910"/>
    <w:rsid w:val="0005473B"/>
    <w:rsid w:val="00064D92"/>
    <w:rsid w:val="0006508A"/>
    <w:rsid w:val="00071D19"/>
    <w:rsid w:val="0008399F"/>
    <w:rsid w:val="00092FF2"/>
    <w:rsid w:val="000A0FEF"/>
    <w:rsid w:val="000A4A1D"/>
    <w:rsid w:val="000A65CD"/>
    <w:rsid w:val="000A76A0"/>
    <w:rsid w:val="000B148F"/>
    <w:rsid w:val="000B5289"/>
    <w:rsid w:val="000C16A0"/>
    <w:rsid w:val="000D2A90"/>
    <w:rsid w:val="000E3821"/>
    <w:rsid w:val="000E566B"/>
    <w:rsid w:val="00104AFA"/>
    <w:rsid w:val="001106E5"/>
    <w:rsid w:val="00111B82"/>
    <w:rsid w:val="00113E4A"/>
    <w:rsid w:val="001164C6"/>
    <w:rsid w:val="00124722"/>
    <w:rsid w:val="001247FC"/>
    <w:rsid w:val="00144058"/>
    <w:rsid w:val="001442B8"/>
    <w:rsid w:val="00150013"/>
    <w:rsid w:val="0015163D"/>
    <w:rsid w:val="00156E68"/>
    <w:rsid w:val="00162E9C"/>
    <w:rsid w:val="00183DCF"/>
    <w:rsid w:val="00185F5E"/>
    <w:rsid w:val="00191899"/>
    <w:rsid w:val="001918D7"/>
    <w:rsid w:val="001B2907"/>
    <w:rsid w:val="001B6911"/>
    <w:rsid w:val="001C06DC"/>
    <w:rsid w:val="001C60FC"/>
    <w:rsid w:val="001D3DCA"/>
    <w:rsid w:val="001E76F1"/>
    <w:rsid w:val="001F15E2"/>
    <w:rsid w:val="001F361E"/>
    <w:rsid w:val="001F4E03"/>
    <w:rsid w:val="001F5363"/>
    <w:rsid w:val="001F7C68"/>
    <w:rsid w:val="00200AD1"/>
    <w:rsid w:val="00205E1F"/>
    <w:rsid w:val="00225118"/>
    <w:rsid w:val="00233828"/>
    <w:rsid w:val="00236898"/>
    <w:rsid w:val="002372D3"/>
    <w:rsid w:val="00243160"/>
    <w:rsid w:val="00243657"/>
    <w:rsid w:val="00255C53"/>
    <w:rsid w:val="00276803"/>
    <w:rsid w:val="002778CA"/>
    <w:rsid w:val="002842E5"/>
    <w:rsid w:val="002A2887"/>
    <w:rsid w:val="002A39EA"/>
    <w:rsid w:val="002A7635"/>
    <w:rsid w:val="002B2EFB"/>
    <w:rsid w:val="002B5E54"/>
    <w:rsid w:val="002B7C8A"/>
    <w:rsid w:val="002C1479"/>
    <w:rsid w:val="002C1AA1"/>
    <w:rsid w:val="002C47E0"/>
    <w:rsid w:val="002C6B1B"/>
    <w:rsid w:val="002D77B6"/>
    <w:rsid w:val="002E5A3A"/>
    <w:rsid w:val="002F2483"/>
    <w:rsid w:val="002F75A5"/>
    <w:rsid w:val="00301BD1"/>
    <w:rsid w:val="003035E5"/>
    <w:rsid w:val="00305356"/>
    <w:rsid w:val="00317BE1"/>
    <w:rsid w:val="003269CC"/>
    <w:rsid w:val="00327261"/>
    <w:rsid w:val="00330FE0"/>
    <w:rsid w:val="0033458F"/>
    <w:rsid w:val="00342207"/>
    <w:rsid w:val="003425C1"/>
    <w:rsid w:val="00342671"/>
    <w:rsid w:val="003440D5"/>
    <w:rsid w:val="003526FF"/>
    <w:rsid w:val="00353240"/>
    <w:rsid w:val="003537C0"/>
    <w:rsid w:val="003947F3"/>
    <w:rsid w:val="003A66BA"/>
    <w:rsid w:val="003A6F88"/>
    <w:rsid w:val="003A79E3"/>
    <w:rsid w:val="003B3B8B"/>
    <w:rsid w:val="003B4387"/>
    <w:rsid w:val="003B4DAD"/>
    <w:rsid w:val="003C7EFA"/>
    <w:rsid w:val="003E0269"/>
    <w:rsid w:val="003E3272"/>
    <w:rsid w:val="003E4AEB"/>
    <w:rsid w:val="003E5996"/>
    <w:rsid w:val="003E5F3F"/>
    <w:rsid w:val="003E7C15"/>
    <w:rsid w:val="003F3CA4"/>
    <w:rsid w:val="0041144D"/>
    <w:rsid w:val="00411ABE"/>
    <w:rsid w:val="004150E8"/>
    <w:rsid w:val="004247C2"/>
    <w:rsid w:val="004255CA"/>
    <w:rsid w:val="004323EB"/>
    <w:rsid w:val="0043703D"/>
    <w:rsid w:val="00440D58"/>
    <w:rsid w:val="004461EA"/>
    <w:rsid w:val="004465C2"/>
    <w:rsid w:val="004618B9"/>
    <w:rsid w:val="004645D9"/>
    <w:rsid w:val="0046639B"/>
    <w:rsid w:val="0048132E"/>
    <w:rsid w:val="00481E98"/>
    <w:rsid w:val="00490089"/>
    <w:rsid w:val="00490FDA"/>
    <w:rsid w:val="0049166A"/>
    <w:rsid w:val="004922C1"/>
    <w:rsid w:val="0049359E"/>
    <w:rsid w:val="00493EF7"/>
    <w:rsid w:val="004946E8"/>
    <w:rsid w:val="00495E3C"/>
    <w:rsid w:val="004A1956"/>
    <w:rsid w:val="004A2385"/>
    <w:rsid w:val="004B4563"/>
    <w:rsid w:val="004C2C4D"/>
    <w:rsid w:val="004E0A6B"/>
    <w:rsid w:val="004E3600"/>
    <w:rsid w:val="004E7C15"/>
    <w:rsid w:val="00501456"/>
    <w:rsid w:val="0050458C"/>
    <w:rsid w:val="00517AE3"/>
    <w:rsid w:val="0052465D"/>
    <w:rsid w:val="0052498F"/>
    <w:rsid w:val="005309CD"/>
    <w:rsid w:val="00531ADA"/>
    <w:rsid w:val="0057593A"/>
    <w:rsid w:val="00580A00"/>
    <w:rsid w:val="00581FE8"/>
    <w:rsid w:val="00583E62"/>
    <w:rsid w:val="00584011"/>
    <w:rsid w:val="005A0AF5"/>
    <w:rsid w:val="005A378A"/>
    <w:rsid w:val="005B4984"/>
    <w:rsid w:val="005B5143"/>
    <w:rsid w:val="005B6D2B"/>
    <w:rsid w:val="005C77F7"/>
    <w:rsid w:val="005D77F3"/>
    <w:rsid w:val="005F3F82"/>
    <w:rsid w:val="006034C6"/>
    <w:rsid w:val="00612848"/>
    <w:rsid w:val="00617A7E"/>
    <w:rsid w:val="00622306"/>
    <w:rsid w:val="00641AFF"/>
    <w:rsid w:val="00657F2B"/>
    <w:rsid w:val="006664AA"/>
    <w:rsid w:val="0066789E"/>
    <w:rsid w:val="00667BDE"/>
    <w:rsid w:val="00681561"/>
    <w:rsid w:val="00681F41"/>
    <w:rsid w:val="0068210B"/>
    <w:rsid w:val="00696D55"/>
    <w:rsid w:val="006A0341"/>
    <w:rsid w:val="006B0ADD"/>
    <w:rsid w:val="006B659B"/>
    <w:rsid w:val="006C1F1C"/>
    <w:rsid w:val="006C3BAE"/>
    <w:rsid w:val="006D21DA"/>
    <w:rsid w:val="006E3061"/>
    <w:rsid w:val="006F03D1"/>
    <w:rsid w:val="00721A17"/>
    <w:rsid w:val="007311A4"/>
    <w:rsid w:val="00731CDD"/>
    <w:rsid w:val="00736490"/>
    <w:rsid w:val="0074521A"/>
    <w:rsid w:val="00746035"/>
    <w:rsid w:val="007574EA"/>
    <w:rsid w:val="007723C3"/>
    <w:rsid w:val="00776E71"/>
    <w:rsid w:val="00781083"/>
    <w:rsid w:val="00784605"/>
    <w:rsid w:val="007904C7"/>
    <w:rsid w:val="007C4649"/>
    <w:rsid w:val="007C5527"/>
    <w:rsid w:val="007E5836"/>
    <w:rsid w:val="007E7CB8"/>
    <w:rsid w:val="007F359A"/>
    <w:rsid w:val="007F6C95"/>
    <w:rsid w:val="00800AD1"/>
    <w:rsid w:val="00801518"/>
    <w:rsid w:val="0080609E"/>
    <w:rsid w:val="00816B98"/>
    <w:rsid w:val="00822982"/>
    <w:rsid w:val="00825370"/>
    <w:rsid w:val="00843F09"/>
    <w:rsid w:val="008517EE"/>
    <w:rsid w:val="00852F21"/>
    <w:rsid w:val="00862E62"/>
    <w:rsid w:val="00864D76"/>
    <w:rsid w:val="00880EF7"/>
    <w:rsid w:val="008A0CFC"/>
    <w:rsid w:val="008A1132"/>
    <w:rsid w:val="008A31A0"/>
    <w:rsid w:val="008B3B65"/>
    <w:rsid w:val="008B5972"/>
    <w:rsid w:val="008D015B"/>
    <w:rsid w:val="008D47F4"/>
    <w:rsid w:val="008D6A1A"/>
    <w:rsid w:val="008E3DCD"/>
    <w:rsid w:val="008E5111"/>
    <w:rsid w:val="008E70F4"/>
    <w:rsid w:val="008F1017"/>
    <w:rsid w:val="008F1966"/>
    <w:rsid w:val="009028EC"/>
    <w:rsid w:val="009050C2"/>
    <w:rsid w:val="00911E7C"/>
    <w:rsid w:val="00912CC1"/>
    <w:rsid w:val="00914817"/>
    <w:rsid w:val="00914C47"/>
    <w:rsid w:val="009201A2"/>
    <w:rsid w:val="009229D4"/>
    <w:rsid w:val="009230FC"/>
    <w:rsid w:val="00926180"/>
    <w:rsid w:val="00932F7C"/>
    <w:rsid w:val="00944689"/>
    <w:rsid w:val="009459CB"/>
    <w:rsid w:val="0095457D"/>
    <w:rsid w:val="009701C8"/>
    <w:rsid w:val="00976C3F"/>
    <w:rsid w:val="00994982"/>
    <w:rsid w:val="009A76A1"/>
    <w:rsid w:val="009B120F"/>
    <w:rsid w:val="009B3AEB"/>
    <w:rsid w:val="009B64C3"/>
    <w:rsid w:val="009B6BFB"/>
    <w:rsid w:val="009C2560"/>
    <w:rsid w:val="009D61A0"/>
    <w:rsid w:val="009D6887"/>
    <w:rsid w:val="009E0DDB"/>
    <w:rsid w:val="009E20F6"/>
    <w:rsid w:val="009F3731"/>
    <w:rsid w:val="009F40DC"/>
    <w:rsid w:val="00A01222"/>
    <w:rsid w:val="00A07CDC"/>
    <w:rsid w:val="00A13E3F"/>
    <w:rsid w:val="00A14497"/>
    <w:rsid w:val="00A17847"/>
    <w:rsid w:val="00A179C5"/>
    <w:rsid w:val="00A23A51"/>
    <w:rsid w:val="00A25AAD"/>
    <w:rsid w:val="00A2738C"/>
    <w:rsid w:val="00A3700D"/>
    <w:rsid w:val="00A41DD2"/>
    <w:rsid w:val="00A55828"/>
    <w:rsid w:val="00A75FF7"/>
    <w:rsid w:val="00A875F7"/>
    <w:rsid w:val="00A91021"/>
    <w:rsid w:val="00A91149"/>
    <w:rsid w:val="00AA1444"/>
    <w:rsid w:val="00AA586A"/>
    <w:rsid w:val="00AC6E1D"/>
    <w:rsid w:val="00AC7214"/>
    <w:rsid w:val="00AD4D63"/>
    <w:rsid w:val="00AD5968"/>
    <w:rsid w:val="00AE43B0"/>
    <w:rsid w:val="00AE4D3B"/>
    <w:rsid w:val="00AE5623"/>
    <w:rsid w:val="00AF08A8"/>
    <w:rsid w:val="00B10D23"/>
    <w:rsid w:val="00B131F5"/>
    <w:rsid w:val="00B14544"/>
    <w:rsid w:val="00B53183"/>
    <w:rsid w:val="00B54119"/>
    <w:rsid w:val="00B608A9"/>
    <w:rsid w:val="00B7337F"/>
    <w:rsid w:val="00B75B31"/>
    <w:rsid w:val="00B75E3F"/>
    <w:rsid w:val="00B8476B"/>
    <w:rsid w:val="00B85032"/>
    <w:rsid w:val="00B90023"/>
    <w:rsid w:val="00B910B6"/>
    <w:rsid w:val="00B91B16"/>
    <w:rsid w:val="00B92301"/>
    <w:rsid w:val="00B9393B"/>
    <w:rsid w:val="00B96C4B"/>
    <w:rsid w:val="00BA48D9"/>
    <w:rsid w:val="00BB11F1"/>
    <w:rsid w:val="00BB4DC0"/>
    <w:rsid w:val="00BC1E67"/>
    <w:rsid w:val="00BD0F53"/>
    <w:rsid w:val="00BD4AF5"/>
    <w:rsid w:val="00BE26B0"/>
    <w:rsid w:val="00BF108F"/>
    <w:rsid w:val="00C0436D"/>
    <w:rsid w:val="00C04433"/>
    <w:rsid w:val="00C0455F"/>
    <w:rsid w:val="00C200C2"/>
    <w:rsid w:val="00C2045C"/>
    <w:rsid w:val="00C219CD"/>
    <w:rsid w:val="00C23976"/>
    <w:rsid w:val="00C47C3D"/>
    <w:rsid w:val="00C55FF3"/>
    <w:rsid w:val="00C71D69"/>
    <w:rsid w:val="00C8031D"/>
    <w:rsid w:val="00C97149"/>
    <w:rsid w:val="00CA1E49"/>
    <w:rsid w:val="00CC655A"/>
    <w:rsid w:val="00CC6D72"/>
    <w:rsid w:val="00CD4859"/>
    <w:rsid w:val="00CF7BC2"/>
    <w:rsid w:val="00D015CC"/>
    <w:rsid w:val="00D12178"/>
    <w:rsid w:val="00D27138"/>
    <w:rsid w:val="00D27BA8"/>
    <w:rsid w:val="00D307D3"/>
    <w:rsid w:val="00D34E1D"/>
    <w:rsid w:val="00D4102F"/>
    <w:rsid w:val="00D447BB"/>
    <w:rsid w:val="00D50265"/>
    <w:rsid w:val="00D6594C"/>
    <w:rsid w:val="00D66F07"/>
    <w:rsid w:val="00D70EB9"/>
    <w:rsid w:val="00D90DF0"/>
    <w:rsid w:val="00D911C0"/>
    <w:rsid w:val="00D926CD"/>
    <w:rsid w:val="00DB367B"/>
    <w:rsid w:val="00DB6DBE"/>
    <w:rsid w:val="00DC683C"/>
    <w:rsid w:val="00DE66DB"/>
    <w:rsid w:val="00DF47F3"/>
    <w:rsid w:val="00E0180D"/>
    <w:rsid w:val="00E01C2E"/>
    <w:rsid w:val="00E04901"/>
    <w:rsid w:val="00E27080"/>
    <w:rsid w:val="00E27900"/>
    <w:rsid w:val="00E3089A"/>
    <w:rsid w:val="00E328F9"/>
    <w:rsid w:val="00E33EB0"/>
    <w:rsid w:val="00E4322D"/>
    <w:rsid w:val="00E434FA"/>
    <w:rsid w:val="00E57BA5"/>
    <w:rsid w:val="00E90841"/>
    <w:rsid w:val="00EB36F4"/>
    <w:rsid w:val="00EC0D49"/>
    <w:rsid w:val="00EC4542"/>
    <w:rsid w:val="00EC5C20"/>
    <w:rsid w:val="00EC5EF0"/>
    <w:rsid w:val="00ED1C6D"/>
    <w:rsid w:val="00ED312B"/>
    <w:rsid w:val="00ED6FDC"/>
    <w:rsid w:val="00EE029E"/>
    <w:rsid w:val="00EE5E5B"/>
    <w:rsid w:val="00F25D2F"/>
    <w:rsid w:val="00F32380"/>
    <w:rsid w:val="00F37452"/>
    <w:rsid w:val="00F44249"/>
    <w:rsid w:val="00F559CE"/>
    <w:rsid w:val="00F61F52"/>
    <w:rsid w:val="00F72F23"/>
    <w:rsid w:val="00F801EA"/>
    <w:rsid w:val="00F930C4"/>
    <w:rsid w:val="00FA1404"/>
    <w:rsid w:val="00FA6DF1"/>
    <w:rsid w:val="00FC03A9"/>
    <w:rsid w:val="00FC1FDE"/>
    <w:rsid w:val="00FC56A9"/>
    <w:rsid w:val="00FD3EF5"/>
    <w:rsid w:val="00FD41E2"/>
    <w:rsid w:val="00FD7A7F"/>
    <w:rsid w:val="00FE1B39"/>
    <w:rsid w:val="00FE274C"/>
    <w:rsid w:val="00FE3B79"/>
    <w:rsid w:val="00FF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72466"/>
  <w14:defaultImageDpi w14:val="300"/>
  <w15:docId w15:val="{A6295E90-EEEE-4C06-87FC-35D02274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05D"/>
    <w:pPr>
      <w:ind w:left="720"/>
      <w:contextualSpacing/>
    </w:pPr>
  </w:style>
  <w:style w:type="table" w:styleId="TableGrid">
    <w:name w:val="Table Grid"/>
    <w:basedOn w:val="TableNormal"/>
    <w:uiPriority w:val="59"/>
    <w:rsid w:val="00BA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E7C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E7C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3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39B"/>
    <w:rPr>
      <w:rFonts w:ascii="Tahoma" w:hAnsi="Tahoma" w:cs="Tahoma"/>
      <w:sz w:val="16"/>
      <w:szCs w:val="16"/>
    </w:rPr>
  </w:style>
  <w:style w:type="character" w:customStyle="1" w:styleId="rwrro">
    <w:name w:val="rwrro"/>
    <w:basedOn w:val="DefaultParagraphFont"/>
    <w:rsid w:val="003E4AEB"/>
  </w:style>
  <w:style w:type="character" w:customStyle="1" w:styleId="nowrap">
    <w:name w:val="nowrap"/>
    <w:basedOn w:val="DefaultParagraphFont"/>
    <w:rsid w:val="003E4AEB"/>
  </w:style>
  <w:style w:type="character" w:styleId="FollowedHyperlink">
    <w:name w:val="FollowedHyperlink"/>
    <w:basedOn w:val="DefaultParagraphFont"/>
    <w:uiPriority w:val="99"/>
    <w:semiHidden/>
    <w:unhideWhenUsed/>
    <w:rsid w:val="007452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8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1.sdmiramar.edu/webfm_send/15589" TargetMode="External"/><Relationship Id="rId5" Type="http://schemas.openxmlformats.org/officeDocument/2006/relationships/hyperlink" Target="http://www.sdmiramar.edu/webfm_send/161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Diego Miramar College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Donnie Tran</cp:lastModifiedBy>
  <cp:revision>16</cp:revision>
  <cp:lastPrinted>2019-11-15T00:36:00Z</cp:lastPrinted>
  <dcterms:created xsi:type="dcterms:W3CDTF">2019-11-14T22:24:00Z</dcterms:created>
  <dcterms:modified xsi:type="dcterms:W3CDTF">2020-02-21T19:38:00Z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-838360864</vt:i4>
  </property>
  <property fmtid="{D5CDD505-2E9C-101B-9397-08002B2CF9AE}" pid="3" name="_NewReviewCycle">
    <vt:lpwstr/>
  </property>
  <property fmtid="{D5CDD505-2E9C-101B-9397-08002B2CF9AE}" pid="4" name="_EmailSubject">
    <vt:lpwstr>ASC thingys</vt:lpwstr>
  </property>
  <property fmtid="{D5CDD505-2E9C-101B-9397-08002B2CF9AE}" pid="5" name="_AuthorEmail">
    <vt:lpwstr>mmcmahon@sdccd.edu</vt:lpwstr>
  </property>
  <property fmtid="{D5CDD505-2E9C-101B-9397-08002B2CF9AE}" pid="6" name="_AuthorEmailDisplayName">
    <vt:lpwstr>Marie Mc Mahon</vt:lpwstr>
  </property>
  <property fmtid="{D5CDD505-2E9C-101B-9397-08002B2CF9AE}" pid="7" name="_PreviousAdHocReviewCycleID">
    <vt:i4>88796371</vt:i4>
  </property>
  <property fmtid="{D5CDD505-2E9C-101B-9397-08002B2CF9AE}" pid="8" name="_ReviewingToolsShownOnce">
    <vt:lpwstr/>
  </property>
</Properties>
</file>