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02/23/2026 Zoom 4 pm - 5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Patty Martinez</w:t>
      </w:r>
    </w:p>
    <w:p w:rsidR="00000000" w:rsidDel="00000000" w:rsidP="00000000" w:rsidRDefault="00000000" w:rsidRPr="00000000" w14:paraId="0000000A">
      <w:pPr>
        <w:rPr/>
      </w:pPr>
      <w:r w:rsidDel="00000000" w:rsidR="00000000" w:rsidRPr="00000000">
        <w:rPr>
          <w:rtl w:val="0"/>
        </w:rPr>
        <w:t xml:space="preserve">Gary Smith</w:t>
      </w:r>
    </w:p>
    <w:p w:rsidR="00000000" w:rsidDel="00000000" w:rsidP="00000000" w:rsidRDefault="00000000" w:rsidRPr="00000000" w14:paraId="0000000B">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Dawn Diskin</w:t>
      </w:r>
    </w:p>
    <w:p w:rsidR="00000000" w:rsidDel="00000000" w:rsidP="00000000" w:rsidRDefault="00000000" w:rsidRPr="00000000" w14:paraId="00000010">
      <w:pPr>
        <w:rPr/>
      </w:pPr>
      <w:r w:rsidDel="00000000" w:rsidR="00000000" w:rsidRPr="00000000">
        <w:rPr>
          <w:rtl w:val="0"/>
        </w:rPr>
        <w:t xml:space="preserve">Heather Paulson</w:t>
      </w:r>
    </w:p>
    <w:p w:rsidR="00000000" w:rsidDel="00000000" w:rsidP="00000000" w:rsidRDefault="00000000" w:rsidRPr="00000000" w14:paraId="00000011">
      <w:pPr>
        <w:rPr/>
      </w:pPr>
      <w:r w:rsidDel="00000000" w:rsidR="00000000" w:rsidRPr="00000000">
        <w:rPr>
          <w:rtl w:val="0"/>
        </w:rPr>
        <w:t xml:space="preserve">Jeff Orgera</w:t>
      </w:r>
    </w:p>
    <w:p w:rsidR="00000000" w:rsidDel="00000000" w:rsidP="00000000" w:rsidRDefault="00000000" w:rsidRPr="00000000" w14:paraId="00000012">
      <w:pPr>
        <w:rPr/>
      </w:pPr>
      <w:r w:rsidDel="00000000" w:rsidR="00000000" w:rsidRPr="00000000">
        <w:rPr>
          <w:rtl w:val="0"/>
        </w:rPr>
        <w:t xml:space="preserve">Eileen Fuerte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7">
      <w:pPr>
        <w:ind w:left="144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Update on Study Abroad programs: FIRE (Laura)</w:t>
      </w:r>
    </w:p>
    <w:p w:rsidR="00000000" w:rsidDel="00000000" w:rsidP="00000000" w:rsidRDefault="00000000" w:rsidRPr="00000000" w14:paraId="0000001B">
      <w:pPr>
        <w:numPr>
          <w:ilvl w:val="2"/>
          <w:numId w:val="1"/>
        </w:numPr>
        <w:ind w:left="2160" w:hanging="360"/>
        <w:rPr>
          <w:u w:val="none"/>
        </w:rPr>
      </w:pPr>
      <w:r w:rsidDel="00000000" w:rsidR="00000000" w:rsidRPr="00000000">
        <w:rPr>
          <w:rtl w:val="0"/>
        </w:rPr>
        <w:t xml:space="preserve">FIPT program contract agreement has been finalized, and the program is moving to the promotion stage.</w:t>
      </w:r>
    </w:p>
    <w:p w:rsidR="00000000" w:rsidDel="00000000" w:rsidP="00000000" w:rsidRDefault="00000000" w:rsidRPr="00000000" w14:paraId="0000001C">
      <w:pPr>
        <w:numPr>
          <w:ilvl w:val="1"/>
          <w:numId w:val="1"/>
        </w:numPr>
        <w:ind w:left="1440" w:hanging="360"/>
      </w:pPr>
      <w:r w:rsidDel="00000000" w:rsidR="00000000" w:rsidRPr="00000000">
        <w:rPr>
          <w:rtl w:val="0"/>
        </w:rPr>
        <w:t xml:space="preserve">Website published (Laura)</w:t>
      </w:r>
    </w:p>
    <w:p w:rsidR="00000000" w:rsidDel="00000000" w:rsidP="00000000" w:rsidRDefault="00000000" w:rsidRPr="00000000" w14:paraId="0000001D">
      <w:pPr>
        <w:numPr>
          <w:ilvl w:val="2"/>
          <w:numId w:val="1"/>
        </w:numPr>
        <w:ind w:left="2160" w:hanging="360"/>
        <w:rPr>
          <w:u w:val="none"/>
        </w:rPr>
      </w:pPr>
      <w:hyperlink r:id="rId6">
        <w:r w:rsidDel="00000000" w:rsidR="00000000" w:rsidRPr="00000000">
          <w:rPr>
            <w:color w:val="1155cc"/>
            <w:u w:val="single"/>
            <w:rtl w:val="0"/>
          </w:rPr>
          <w:t xml:space="preserve">https://sdmiramar.edu/international-education-and-study-abroad</w:t>
        </w:r>
      </w:hyperlink>
      <w:r w:rsidDel="00000000" w:rsidR="00000000" w:rsidRPr="00000000">
        <w:rPr>
          <w:rtl w:val="0"/>
        </w:rPr>
        <w:t xml:space="preserve"> </w:t>
      </w:r>
    </w:p>
    <w:p w:rsidR="00000000" w:rsidDel="00000000" w:rsidP="00000000" w:rsidRDefault="00000000" w:rsidRPr="00000000" w14:paraId="0000001E">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1F">
      <w:pPr>
        <w:widowControl w:val="0"/>
        <w:numPr>
          <w:ilvl w:val="2"/>
          <w:numId w:val="1"/>
        </w:numPr>
        <w:spacing w:line="240" w:lineRule="auto"/>
        <w:ind w:left="2160" w:hanging="360"/>
        <w:rPr>
          <w:u w:val="none"/>
        </w:rPr>
      </w:pPr>
      <w:r w:rsidDel="00000000" w:rsidR="00000000" w:rsidRPr="00000000">
        <w:rPr>
          <w:rtl w:val="0"/>
        </w:rPr>
        <w:t xml:space="preserve">For SP26, we will host one luncheon and also the graduation celebration.</w:t>
      </w:r>
    </w:p>
    <w:p w:rsidR="00000000" w:rsidDel="00000000" w:rsidP="00000000" w:rsidRDefault="00000000" w:rsidRPr="00000000" w14:paraId="00000020">
      <w:pPr>
        <w:widowControl w:val="0"/>
        <w:numPr>
          <w:ilvl w:val="2"/>
          <w:numId w:val="1"/>
        </w:numPr>
        <w:spacing w:line="240" w:lineRule="auto"/>
        <w:ind w:left="2160" w:hanging="360"/>
        <w:rPr>
          <w:u w:val="none"/>
        </w:rPr>
      </w:pPr>
      <w:r w:rsidDel="00000000" w:rsidR="00000000" w:rsidRPr="00000000">
        <w:rPr>
          <w:rtl w:val="0"/>
        </w:rPr>
        <w:t xml:space="preserve">3 students will be helping at the craft tables for Ireland Day.</w:t>
      </w:r>
    </w:p>
    <w:p w:rsidR="00000000" w:rsidDel="00000000" w:rsidP="00000000" w:rsidRDefault="00000000" w:rsidRPr="00000000" w14:paraId="00000021">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22">
      <w:pPr>
        <w:widowControl w:val="0"/>
        <w:numPr>
          <w:ilvl w:val="1"/>
          <w:numId w:val="1"/>
        </w:numPr>
        <w:spacing w:line="240" w:lineRule="auto"/>
        <w:ind w:left="1440" w:hanging="360"/>
      </w:pPr>
      <w:r w:rsidDel="00000000" w:rsidR="00000000" w:rsidRPr="00000000">
        <w:rPr>
          <w:rtl w:val="0"/>
        </w:rPr>
        <w:t xml:space="preserve">International Professional Development Programs (Laura)</w:t>
      </w:r>
    </w:p>
    <w:p w:rsidR="00000000" w:rsidDel="00000000" w:rsidP="00000000" w:rsidRDefault="00000000" w:rsidRPr="00000000" w14:paraId="00000023">
      <w:pPr>
        <w:widowControl w:val="0"/>
        <w:numPr>
          <w:ilvl w:val="2"/>
          <w:numId w:val="1"/>
        </w:numPr>
        <w:spacing w:line="240" w:lineRule="auto"/>
        <w:ind w:left="2160" w:hanging="360"/>
        <w:rPr>
          <w:u w:val="none"/>
        </w:rPr>
      </w:pPr>
      <w:r w:rsidDel="00000000" w:rsidR="00000000" w:rsidRPr="00000000">
        <w:rPr>
          <w:rtl w:val="0"/>
        </w:rPr>
        <w:t xml:space="preserve">Ireland program is now closed due to the looming deadline (21 participants).</w:t>
      </w:r>
    </w:p>
    <w:p w:rsidR="00000000" w:rsidDel="00000000" w:rsidP="00000000" w:rsidRDefault="00000000" w:rsidRPr="00000000" w14:paraId="00000024">
      <w:pPr>
        <w:widowControl w:val="0"/>
        <w:numPr>
          <w:ilvl w:val="2"/>
          <w:numId w:val="1"/>
        </w:numPr>
        <w:spacing w:line="240" w:lineRule="auto"/>
        <w:ind w:left="2160" w:hanging="360"/>
        <w:rPr>
          <w:u w:val="none"/>
        </w:rPr>
      </w:pPr>
      <w:r w:rsidDel="00000000" w:rsidR="00000000" w:rsidRPr="00000000">
        <w:rPr>
          <w:rtl w:val="0"/>
        </w:rPr>
        <w:t xml:space="preserve">Oaxaca program will still go on as planned, even though some violence erupted in other parts of Mexico about a week ago. Oaxaca City is safe and business is as usual. </w:t>
      </w:r>
    </w:p>
    <w:p w:rsidR="00000000" w:rsidDel="00000000" w:rsidP="00000000" w:rsidRDefault="00000000" w:rsidRPr="00000000" w14:paraId="00000025">
      <w:pPr>
        <w:widowControl w:val="0"/>
        <w:numPr>
          <w:ilvl w:val="1"/>
          <w:numId w:val="1"/>
        </w:numPr>
        <w:spacing w:line="240" w:lineRule="auto"/>
        <w:ind w:left="1440" w:hanging="360"/>
      </w:pPr>
      <w:r w:rsidDel="00000000" w:rsidR="00000000" w:rsidRPr="00000000">
        <w:rPr>
          <w:rtl w:val="0"/>
        </w:rPr>
        <w:t xml:space="preserve">Grant project updates (Patty, Gary, Dawn)</w:t>
      </w:r>
    </w:p>
    <w:p w:rsidR="00000000" w:rsidDel="00000000" w:rsidP="00000000" w:rsidRDefault="00000000" w:rsidRPr="00000000" w14:paraId="00000026">
      <w:pPr>
        <w:widowControl w:val="0"/>
        <w:numPr>
          <w:ilvl w:val="2"/>
          <w:numId w:val="1"/>
        </w:numPr>
        <w:spacing w:line="240" w:lineRule="auto"/>
        <w:ind w:left="2160" w:hanging="360"/>
        <w:rPr>
          <w:u w:val="none"/>
        </w:rPr>
      </w:pPr>
      <w:r w:rsidDel="00000000" w:rsidR="00000000" w:rsidRPr="00000000">
        <w:rPr>
          <w:rtl w:val="0"/>
        </w:rPr>
        <w:t xml:space="preserve">March 1 - Gary, Patty and Jessica will share a draft of the International Student Handbook.</w:t>
      </w:r>
    </w:p>
    <w:p w:rsidR="00000000" w:rsidDel="00000000" w:rsidP="00000000" w:rsidRDefault="00000000" w:rsidRPr="00000000" w14:paraId="00000027">
      <w:pPr>
        <w:widowControl w:val="0"/>
        <w:numPr>
          <w:ilvl w:val="2"/>
          <w:numId w:val="1"/>
        </w:numPr>
        <w:spacing w:line="240" w:lineRule="auto"/>
        <w:ind w:left="2160" w:hanging="360"/>
        <w:rPr>
          <w:u w:val="none"/>
        </w:rPr>
      </w:pPr>
      <w:r w:rsidDel="00000000" w:rsidR="00000000" w:rsidRPr="00000000">
        <w:rPr>
          <w:rtl w:val="0"/>
        </w:rPr>
        <w:t xml:space="preserve">Laura will share the link to the flickr account for photos with Kim LaRue when we hand it over to her for formatting.</w:t>
      </w:r>
    </w:p>
    <w:p w:rsidR="00000000" w:rsidDel="00000000" w:rsidP="00000000" w:rsidRDefault="00000000" w:rsidRPr="00000000" w14:paraId="00000028">
      <w:pPr>
        <w:widowControl w:val="0"/>
        <w:numPr>
          <w:ilvl w:val="2"/>
          <w:numId w:val="1"/>
        </w:numPr>
        <w:spacing w:line="240" w:lineRule="auto"/>
        <w:ind w:left="2160" w:hanging="360"/>
        <w:rPr>
          <w:u w:val="none"/>
        </w:rPr>
      </w:pPr>
      <w:r w:rsidDel="00000000" w:rsidR="00000000" w:rsidRPr="00000000">
        <w:rPr>
          <w:rtl w:val="0"/>
        </w:rPr>
        <w:t xml:space="preserve">Laura will be finalizing any edits to the Scholarship application form this semester (worked on by Dawn and Patty).</w:t>
      </w:r>
    </w:p>
    <w:p w:rsidR="00000000" w:rsidDel="00000000" w:rsidP="00000000" w:rsidRDefault="00000000" w:rsidRPr="00000000" w14:paraId="00000029">
      <w:pPr>
        <w:widowControl w:val="0"/>
        <w:numPr>
          <w:ilvl w:val="1"/>
          <w:numId w:val="1"/>
        </w:numPr>
        <w:spacing w:line="240" w:lineRule="auto"/>
        <w:ind w:left="1440" w:hanging="360"/>
      </w:pPr>
      <w:r w:rsidDel="00000000" w:rsidR="00000000" w:rsidRPr="00000000">
        <w:rPr>
          <w:rtl w:val="0"/>
        </w:rPr>
        <w:t xml:space="preserve">International Education Summit - Miramar 2/25 3-5 pm President's Conference Room N-206 (Laura)</w:t>
      </w:r>
    </w:p>
    <w:p w:rsidR="00000000" w:rsidDel="00000000" w:rsidP="00000000" w:rsidRDefault="00000000" w:rsidRPr="00000000" w14:paraId="0000002A">
      <w:pPr>
        <w:widowControl w:val="0"/>
        <w:numPr>
          <w:ilvl w:val="2"/>
          <w:numId w:val="1"/>
        </w:numPr>
        <w:spacing w:line="240" w:lineRule="auto"/>
        <w:ind w:left="2160" w:hanging="360"/>
        <w:rPr>
          <w:u w:val="none"/>
        </w:rPr>
      </w:pPr>
      <w:r w:rsidDel="00000000" w:rsidR="00000000" w:rsidRPr="00000000">
        <w:rPr>
          <w:rtl w:val="0"/>
        </w:rPr>
        <w:t xml:space="preserve">Dawn has offered to help pick up lunch for guests.</w:t>
      </w:r>
    </w:p>
    <w:p w:rsidR="00000000" w:rsidDel="00000000" w:rsidP="00000000" w:rsidRDefault="00000000" w:rsidRPr="00000000" w14:paraId="0000002B">
      <w:pPr>
        <w:widowControl w:val="0"/>
        <w:numPr>
          <w:ilvl w:val="1"/>
          <w:numId w:val="1"/>
        </w:numPr>
        <w:spacing w:line="240" w:lineRule="auto"/>
        <w:ind w:left="1440" w:hanging="360"/>
      </w:pPr>
      <w:r w:rsidDel="00000000" w:rsidR="00000000" w:rsidRPr="00000000">
        <w:rPr>
          <w:rtl w:val="0"/>
        </w:rPr>
        <w:t xml:space="preserve">Applications open for 2027 summer or 2028 January Intersession study abroad courses - </w:t>
      </w:r>
      <w:hyperlink r:id="rId7">
        <w:r w:rsidDel="00000000" w:rsidR="00000000" w:rsidRPr="00000000">
          <w:rPr>
            <w:color w:val="1155cc"/>
            <w:u w:val="single"/>
            <w:rtl w:val="0"/>
          </w:rPr>
          <w:t xml:space="preserve">Link to Study Abroad Course Proposal Form</w:t>
        </w:r>
      </w:hyperlink>
      <w:r w:rsidDel="00000000" w:rsidR="00000000" w:rsidRPr="00000000">
        <w:rPr>
          <w:rtl w:val="0"/>
        </w:rPr>
      </w:r>
    </w:p>
    <w:p w:rsidR="00000000" w:rsidDel="00000000" w:rsidP="00000000" w:rsidRDefault="00000000" w:rsidRPr="00000000" w14:paraId="0000002C">
      <w:pPr>
        <w:widowControl w:val="0"/>
        <w:spacing w:line="240" w:lineRule="auto"/>
        <w:ind w:left="144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Business</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520"/>
        <w:tblGridChange w:id="0">
          <w:tblGrid>
            <w:gridCol w:w="900"/>
            <w:gridCol w:w="852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“Celebration of Ireland” Day - Feb 25, 2026</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numPr>
                <w:ilvl w:val="0"/>
                <w:numId w:val="4"/>
              </w:numPr>
              <w:spacing w:line="240" w:lineRule="auto"/>
              <w:ind w:left="720" w:hanging="360"/>
            </w:pPr>
            <w:r w:rsidDel="00000000" w:rsidR="00000000" w:rsidRPr="00000000">
              <w:rPr>
                <w:rtl w:val="0"/>
              </w:rPr>
              <w:t xml:space="preserve">Rose Irish Dance Academy 12:45 start </w:t>
            </w:r>
          </w:p>
          <w:p w:rsidR="00000000" w:rsidDel="00000000" w:rsidP="00000000" w:rsidRDefault="00000000" w:rsidRPr="00000000" w14:paraId="00000034">
            <w:pPr>
              <w:widowControl w:val="0"/>
              <w:numPr>
                <w:ilvl w:val="0"/>
                <w:numId w:val="4"/>
              </w:numPr>
              <w:spacing w:line="240" w:lineRule="auto"/>
              <w:ind w:left="720" w:hanging="360"/>
            </w:pPr>
            <w:r w:rsidDel="00000000" w:rsidR="00000000" w:rsidRPr="00000000">
              <w:rPr>
                <w:rtl w:val="0"/>
              </w:rPr>
              <w:t xml:space="preserve">Tables in K1 lobby </w:t>
            </w:r>
          </w:p>
          <w:p w:rsidR="00000000" w:rsidDel="00000000" w:rsidP="00000000" w:rsidRDefault="00000000" w:rsidRPr="00000000" w14:paraId="00000035">
            <w:pPr>
              <w:widowControl w:val="0"/>
              <w:numPr>
                <w:ilvl w:val="0"/>
                <w:numId w:val="4"/>
              </w:numPr>
              <w:spacing w:line="240" w:lineRule="auto"/>
              <w:ind w:left="720" w:hanging="360"/>
            </w:pPr>
            <w:r w:rsidDel="00000000" w:rsidR="00000000" w:rsidRPr="00000000">
              <w:rPr>
                <w:rtl w:val="0"/>
              </w:rPr>
              <w:t xml:space="preserve">Talk by Niamh in K1-107 at 1:10 pm</w:t>
            </w:r>
          </w:p>
          <w:p w:rsidR="00000000" w:rsidDel="00000000" w:rsidP="00000000" w:rsidRDefault="00000000" w:rsidRPr="00000000" w14:paraId="00000036">
            <w:pPr>
              <w:widowControl w:val="0"/>
              <w:numPr>
                <w:ilvl w:val="0"/>
                <w:numId w:val="4"/>
              </w:numPr>
              <w:spacing w:line="240" w:lineRule="auto"/>
              <w:ind w:left="720" w:hanging="360"/>
            </w:pPr>
            <w:r w:rsidDel="00000000" w:rsidR="00000000" w:rsidRPr="00000000">
              <w:rPr>
                <w:rtl w:val="0"/>
              </w:rPr>
              <w:t xml:space="preserve">“Irish Fairy Folklore - Darker than you think”</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t xml:space="preserve">Dawn - Help picking up sandwiches at 11:00 am</w:t>
            </w:r>
          </w:p>
          <w:p w:rsidR="00000000" w:rsidDel="00000000" w:rsidP="00000000" w:rsidRDefault="00000000" w:rsidRPr="00000000" w14:paraId="00000039">
            <w:pPr>
              <w:widowControl w:val="0"/>
              <w:numPr>
                <w:ilvl w:val="0"/>
                <w:numId w:val="6"/>
              </w:numPr>
              <w:spacing w:line="240" w:lineRule="auto"/>
              <w:ind w:left="720" w:hanging="360"/>
            </w:pPr>
            <w:r w:rsidDel="00000000" w:rsidR="00000000" w:rsidRPr="00000000">
              <w:rPr>
                <w:rtl w:val="0"/>
              </w:rPr>
              <w:t xml:space="preserve">Talk by Niamh in K1-107 - begins 1:15 pm</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COIL Programs </w:t>
            </w:r>
            <w:hyperlink r:id="rId8">
              <w:r w:rsidDel="00000000" w:rsidR="00000000" w:rsidRPr="00000000">
                <w:rPr>
                  <w:color w:val="1155cc"/>
                  <w:u w:val="single"/>
                  <w:rtl w:val="0"/>
                </w:rPr>
                <w:t xml:space="preserve">coilconnect.org</w:t>
              </w:r>
            </w:hyperlink>
            <w:r w:rsidDel="00000000" w:rsidR="00000000" w:rsidRPr="00000000">
              <w:rPr>
                <w:rtl w:val="0"/>
              </w:rPr>
              <w:t xml:space="preserve"> </w:t>
            </w:r>
          </w:p>
          <w:p w:rsidR="00000000" w:rsidDel="00000000" w:rsidP="00000000" w:rsidRDefault="00000000" w:rsidRPr="00000000" w14:paraId="0000003E">
            <w:pPr>
              <w:widowControl w:val="0"/>
              <w:numPr>
                <w:ilvl w:val="0"/>
                <w:numId w:val="3"/>
              </w:numPr>
              <w:spacing w:line="240" w:lineRule="auto"/>
              <w:ind w:left="720" w:hanging="360"/>
            </w:pPr>
            <w:hyperlink r:id="rId9">
              <w:r w:rsidDel="00000000" w:rsidR="00000000" w:rsidRPr="00000000">
                <w:rPr>
                  <w:color w:val="1155cc"/>
                  <w:u w:val="single"/>
                  <w:rtl w:val="0"/>
                </w:rPr>
                <w:t xml:space="preserve">Start-Up Institutional Workshops</w:t>
              </w:r>
            </w:hyperlink>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t xml:space="preserve">Laura shared that she and Jeff Orgera would be participating in the Institutional Workshops for this program over Spring 2026 to gain a foundation for developing our own program at Miramar.</w:t>
            </w:r>
          </w:p>
          <w:p w:rsidR="00000000" w:rsidDel="00000000" w:rsidP="00000000" w:rsidRDefault="00000000" w:rsidRPr="00000000" w14:paraId="00000041">
            <w:pPr>
              <w:widowControl w:val="0"/>
              <w:spacing w:line="240" w:lineRule="auto"/>
              <w:rPr/>
            </w:pPr>
            <w:r w:rsidDel="00000000" w:rsidR="00000000" w:rsidRPr="00000000">
              <w:rPr>
                <w:rtl w:val="0"/>
              </w:rPr>
            </w:r>
          </w:p>
        </w:tc>
      </w:tr>
    </w:tbl>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widowControl w:val="0"/>
        <w:spacing w:line="240" w:lineRule="auto"/>
        <w:ind w:left="144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5. Announcements</w:t>
      </w:r>
    </w:p>
    <w:p w:rsidR="00000000" w:rsidDel="00000000" w:rsidP="00000000" w:rsidRDefault="00000000" w:rsidRPr="00000000" w14:paraId="00000046">
      <w:pPr>
        <w:ind w:left="0" w:firstLine="0"/>
        <w:rPr/>
      </w:pPr>
      <w:r w:rsidDel="00000000" w:rsidR="00000000" w:rsidRPr="00000000">
        <w:rPr>
          <w:rtl w:val="0"/>
        </w:rPr>
        <w:t xml:space="preserve">6. Adjourn</w:t>
      </w:r>
    </w:p>
    <w:p w:rsidR="00000000" w:rsidDel="00000000" w:rsidP="00000000" w:rsidRDefault="00000000" w:rsidRPr="00000000" w14:paraId="00000047">
      <w:pPr>
        <w:ind w:left="0" w:firstLine="0"/>
        <w:rPr>
          <w:b w:val="1"/>
          <w:bCs w:val="1"/>
          <w:sz w:val="24"/>
          <w:szCs w:val="24"/>
        </w:rPr>
      </w:pPr>
      <w:r w:rsidDel="00000000" w:rsidR="00000000" w:rsidRPr="00000000">
        <w:rPr>
          <w:rtl w:val="0"/>
        </w:rPr>
        <w:t xml:space="preserve">7. Next meeting: Mar 23, 2026</w:t>
      </w:r>
      <w:r w:rsidDel="00000000" w:rsidR="00000000" w:rsidRPr="00000000">
        <w:rPr>
          <w:rtl w:val="0"/>
        </w:rPr>
      </w:r>
    </w:p>
    <w:p w:rsidR="00000000" w:rsidDel="00000000" w:rsidP="00000000" w:rsidRDefault="00000000" w:rsidRPr="00000000" w14:paraId="00000048">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49">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4A">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4B">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4C">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4D">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E">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F">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0">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51">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2">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5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4">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5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6">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5A">
      <w:pPr>
        <w:numPr>
          <w:ilvl w:val="0"/>
          <w:numId w:val="5"/>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5B">
      <w:pPr>
        <w:numPr>
          <w:ilvl w:val="0"/>
          <w:numId w:val="5"/>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5C">
      <w:pPr>
        <w:numPr>
          <w:ilvl w:val="0"/>
          <w:numId w:val="5"/>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5D">
      <w:pPr>
        <w:numPr>
          <w:ilvl w:val="0"/>
          <w:numId w:val="5"/>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5E">
      <w:pPr>
        <w:numPr>
          <w:ilvl w:val="0"/>
          <w:numId w:val="5"/>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5F">
      <w:pPr>
        <w:numPr>
          <w:ilvl w:val="0"/>
          <w:numId w:val="5"/>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Annual Goals</w:t>
      </w:r>
    </w:p>
    <w:p w:rsidR="00000000" w:rsidDel="00000000" w:rsidP="00000000" w:rsidRDefault="00000000" w:rsidRPr="00000000" w14:paraId="00000062">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63">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64">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67">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ilconnect.org/startups" TargetMode="External"/><Relationship Id="rId5" Type="http://schemas.openxmlformats.org/officeDocument/2006/relationships/styles" Target="styles.xml"/><Relationship Id="rId6" Type="http://schemas.openxmlformats.org/officeDocument/2006/relationships/hyperlink" Target="https://sdmiramar.edu/international-education-and-study-abroad" TargetMode="External"/><Relationship Id="rId7" Type="http://schemas.openxmlformats.org/officeDocument/2006/relationships/hyperlink" Target="https://docs.google.com/document/d/1QL1GnfKw0sLgitgPaUYKHRrj6aFIpYB_/edit?usp=sharing&amp;ouid=103763575884733757914&amp;rtpof=true&amp;sd=true" TargetMode="External"/><Relationship Id="rId8" Type="http://schemas.openxmlformats.org/officeDocument/2006/relationships/hyperlink" Target="http://coilconn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