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Resolution on Decriminalizing Academic Probation Language</w:t>
      </w:r>
    </w:p>
    <w:p w:rsidR="00000000" w:rsidDel="00000000" w:rsidP="00000000" w:rsidRDefault="00000000" w:rsidRPr="00000000" w14:paraId="00000002">
      <w:pPr>
        <w:numPr>
          <w:ilvl w:val="0"/>
          <w:numId w:val="2"/>
        </w:numPr>
        <w:ind w:left="720" w:hanging="360"/>
        <w:rPr>
          <w:i w:val="1"/>
          <w:sz w:val="24"/>
          <w:szCs w:val="24"/>
          <w:u w:val="none"/>
        </w:rPr>
      </w:pPr>
      <w:r w:rsidDel="00000000" w:rsidR="00000000" w:rsidRPr="00000000">
        <w:rPr>
          <w:i w:val="1"/>
          <w:sz w:val="24"/>
          <w:szCs w:val="24"/>
          <w:rtl w:val="0"/>
        </w:rPr>
        <w:t xml:space="preserve">Nov 13, 2023: Presented and endorsed unanimously by the Education Policies committee</w:t>
      </w:r>
    </w:p>
    <w:p w:rsidR="00000000" w:rsidDel="00000000" w:rsidP="00000000" w:rsidRDefault="00000000" w:rsidRPr="00000000" w14:paraId="00000003">
      <w:pPr>
        <w:numPr>
          <w:ilvl w:val="0"/>
          <w:numId w:val="2"/>
        </w:numPr>
        <w:ind w:left="720" w:hanging="360"/>
        <w:rPr>
          <w:i w:val="1"/>
          <w:sz w:val="24"/>
          <w:szCs w:val="24"/>
          <w:u w:val="none"/>
        </w:rPr>
      </w:pPr>
      <w:r w:rsidDel="00000000" w:rsidR="00000000" w:rsidRPr="00000000">
        <w:rPr>
          <w:i w:val="1"/>
          <w:sz w:val="24"/>
          <w:szCs w:val="24"/>
          <w:rtl w:val="0"/>
        </w:rPr>
        <w:t xml:space="preserve">Nov. 21, 2023: Consulted with and supported by Guillermo Villanueva, Monika Liu, Mandy Liang, Lisa Cooper Wilkins, Lisa Romano, Tessa Brown, Amy Coffey</w:t>
      </w:r>
    </w:p>
    <w:p w:rsidR="00000000" w:rsidDel="00000000" w:rsidP="00000000" w:rsidRDefault="00000000" w:rsidRPr="00000000" w14:paraId="00000004">
      <w:pPr>
        <w:numPr>
          <w:ilvl w:val="0"/>
          <w:numId w:val="2"/>
        </w:numPr>
        <w:ind w:left="720" w:hanging="360"/>
        <w:rPr>
          <w:i w:val="1"/>
          <w:sz w:val="24"/>
          <w:szCs w:val="24"/>
          <w:u w:val="none"/>
        </w:rPr>
      </w:pPr>
      <w:r w:rsidDel="00000000" w:rsidR="00000000" w:rsidRPr="00000000">
        <w:rPr>
          <w:i w:val="1"/>
          <w:sz w:val="24"/>
          <w:szCs w:val="24"/>
          <w:rtl w:val="0"/>
        </w:rPr>
        <w:t xml:space="preserve">Nov. 29, 2023: Approved by Academic Senate Executive Council (ASEC)</w:t>
      </w:r>
    </w:p>
    <w:p w:rsidR="00000000" w:rsidDel="00000000" w:rsidP="00000000" w:rsidRDefault="00000000" w:rsidRPr="00000000" w14:paraId="00000005">
      <w:pPr>
        <w:numPr>
          <w:ilvl w:val="0"/>
          <w:numId w:val="2"/>
        </w:numPr>
        <w:ind w:left="720" w:hanging="360"/>
        <w:rPr>
          <w:i w:val="1"/>
          <w:sz w:val="24"/>
          <w:szCs w:val="24"/>
          <w:u w:val="none"/>
        </w:rPr>
      </w:pPr>
      <w:r w:rsidDel="00000000" w:rsidR="00000000" w:rsidRPr="00000000">
        <w:rPr>
          <w:i w:val="1"/>
          <w:sz w:val="24"/>
          <w:szCs w:val="24"/>
          <w:rtl w:val="0"/>
        </w:rPr>
        <w:t xml:space="preserve">Nov. 30, 2023: Classified Senate – email notification went out to Classified Senate members (thank you Michael Snider!)</w:t>
      </w:r>
    </w:p>
    <w:p w:rsidR="00000000" w:rsidDel="00000000" w:rsidP="00000000" w:rsidRDefault="00000000" w:rsidRPr="00000000" w14:paraId="00000006">
      <w:pPr>
        <w:numPr>
          <w:ilvl w:val="0"/>
          <w:numId w:val="2"/>
        </w:numPr>
        <w:ind w:left="720" w:hanging="360"/>
        <w:rPr>
          <w:i w:val="1"/>
          <w:sz w:val="24"/>
          <w:szCs w:val="24"/>
          <w:u w:val="none"/>
        </w:rPr>
      </w:pPr>
      <w:r w:rsidDel="00000000" w:rsidR="00000000" w:rsidRPr="00000000">
        <w:rPr>
          <w:i w:val="1"/>
          <w:sz w:val="24"/>
          <w:szCs w:val="24"/>
          <w:rtl w:val="0"/>
        </w:rPr>
        <w:t xml:space="preserve">December 7, 2023: PGC Informational item; endorsed unanimously.</w:t>
      </w:r>
    </w:p>
    <w:p w:rsidR="00000000" w:rsidDel="00000000" w:rsidP="00000000" w:rsidRDefault="00000000" w:rsidRPr="00000000" w14:paraId="00000007">
      <w:pPr>
        <w:numPr>
          <w:ilvl w:val="0"/>
          <w:numId w:val="2"/>
        </w:numPr>
        <w:ind w:left="720" w:hanging="360"/>
        <w:rPr>
          <w:i w:val="1"/>
          <w:sz w:val="24"/>
          <w:szCs w:val="24"/>
          <w:u w:val="none"/>
        </w:rPr>
      </w:pPr>
      <w:r w:rsidDel="00000000" w:rsidR="00000000" w:rsidRPr="00000000">
        <w:rPr>
          <w:i w:val="1"/>
          <w:sz w:val="24"/>
          <w:szCs w:val="24"/>
          <w:rtl w:val="0"/>
        </w:rPr>
        <w:t xml:space="preserve">December 8, 2023: presented to Associated Student Executive Council </w:t>
      </w:r>
    </w:p>
    <w:p w:rsidR="00000000" w:rsidDel="00000000" w:rsidP="00000000" w:rsidRDefault="00000000" w:rsidRPr="00000000" w14:paraId="00000008">
      <w:pPr>
        <w:ind w:left="720" w:firstLine="0"/>
        <w:rPr>
          <w:i w:val="1"/>
          <w:sz w:val="24"/>
          <w:szCs w:val="24"/>
        </w:rPr>
      </w:pPr>
      <w:r w:rsidDel="00000000" w:rsidR="00000000" w:rsidRPr="00000000">
        <w:rPr>
          <w:rtl w:val="0"/>
        </w:rPr>
      </w:r>
    </w:p>
    <w:p w:rsidR="00000000" w:rsidDel="00000000" w:rsidP="00000000" w:rsidRDefault="00000000" w:rsidRPr="00000000" w14:paraId="00000009">
      <w:pPr>
        <w:numPr>
          <w:ilvl w:val="1"/>
          <w:numId w:val="2"/>
        </w:numPr>
        <w:ind w:left="1440" w:hanging="360"/>
        <w:rPr>
          <w:i w:val="1"/>
          <w:sz w:val="24"/>
          <w:szCs w:val="24"/>
        </w:rPr>
      </w:pPr>
      <w:r w:rsidDel="00000000" w:rsidR="00000000" w:rsidRPr="00000000">
        <w:rPr>
          <w:i w:val="1"/>
          <w:sz w:val="24"/>
          <w:szCs w:val="24"/>
          <w:rtl w:val="0"/>
        </w:rPr>
        <w:t xml:space="preserve">ASEC to put call out for taskforce; interest thus far: Mitra Sapienza, chair, Guillermo Villanueva, Monika Liu, Mandy Liang, Lisa Cooper Wilkins, Lisa Romano, Tessa Brown, Amy Coffey, Alex Leyton, Alexis Litzky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color w:val="0a0a0a"/>
          <w:sz w:val="24"/>
          <w:szCs w:val="24"/>
          <w:highlight w:val="white"/>
        </w:rPr>
      </w:pPr>
      <w:r w:rsidDel="00000000" w:rsidR="00000000" w:rsidRPr="00000000">
        <w:rPr>
          <w:sz w:val="24"/>
          <w:szCs w:val="24"/>
          <w:rtl w:val="0"/>
        </w:rPr>
        <w:t xml:space="preserve">Whereas </w:t>
      </w:r>
      <w:r w:rsidDel="00000000" w:rsidR="00000000" w:rsidRPr="00000000">
        <w:rPr>
          <w:color w:val="0a0a0a"/>
          <w:sz w:val="24"/>
          <w:szCs w:val="24"/>
          <w:highlight w:val="white"/>
          <w:rtl w:val="0"/>
        </w:rPr>
        <w:t xml:space="preserve">California Code of Regulations Title 5 §55031 Standards for Probation</w:t>
      </w:r>
      <w:r w:rsidDel="00000000" w:rsidR="00000000" w:rsidRPr="00000000">
        <w:rPr>
          <w:color w:val="0a0a0a"/>
          <w:sz w:val="24"/>
          <w:szCs w:val="24"/>
          <w:highlight w:val="white"/>
          <w:vertAlign w:val="superscript"/>
        </w:rPr>
        <w:footnoteReference w:customMarkFollows="0" w:id="0"/>
      </w:r>
      <w:r w:rsidDel="00000000" w:rsidR="00000000" w:rsidRPr="00000000">
        <w:rPr>
          <w:color w:val="0a0a0a"/>
          <w:sz w:val="24"/>
          <w:szCs w:val="24"/>
          <w:highlight w:val="white"/>
          <w:rtl w:val="0"/>
        </w:rPr>
        <w:t xml:space="preserve"> requires colleges to place students on academic or progress probation if they fall below grade point average or successful course completion standards;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color w:val="0a0a0a"/>
          <w:sz w:val="24"/>
          <w:szCs w:val="24"/>
          <w:highlight w:val="white"/>
        </w:rPr>
      </w:pPr>
      <w:r w:rsidDel="00000000" w:rsidR="00000000" w:rsidRPr="00000000">
        <w:rPr>
          <w:sz w:val="24"/>
          <w:szCs w:val="24"/>
          <w:rtl w:val="0"/>
        </w:rPr>
        <w:t xml:space="preserve">Whereas, the Academic Senate for California Community Colleges (ASCCC) passed a resolution in Spring 2023 recommending Title 5 changes in academic probation language and encouraging local academic senates’ to review “local policies and practices with an </w:t>
      </w:r>
      <w:r w:rsidDel="00000000" w:rsidR="00000000" w:rsidRPr="00000000">
        <w:rPr>
          <w:color w:val="0a0a0a"/>
          <w:sz w:val="24"/>
          <w:szCs w:val="24"/>
          <w:highlight w:val="white"/>
          <w:rtl w:val="0"/>
        </w:rPr>
        <w:t xml:space="preserve">aim of mitigating local processes that may negatively impact students who are on academic or progress probation while Title 5 changes are in progress.”</w:t>
      </w:r>
      <w:r w:rsidDel="00000000" w:rsidR="00000000" w:rsidRPr="00000000">
        <w:rPr>
          <w:color w:val="0a0a0a"/>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0E">
      <w:pPr>
        <w:rPr>
          <w:color w:val="0a0a0a"/>
          <w:sz w:val="24"/>
          <w:szCs w:val="24"/>
          <w:highlight w:val="white"/>
        </w:rPr>
      </w:pPr>
      <w:r w:rsidDel="00000000" w:rsidR="00000000" w:rsidRPr="00000000">
        <w:rPr>
          <w:rtl w:val="0"/>
        </w:rPr>
      </w:r>
    </w:p>
    <w:p w:rsidR="00000000" w:rsidDel="00000000" w:rsidP="00000000" w:rsidRDefault="00000000" w:rsidRPr="00000000" w14:paraId="0000000F">
      <w:pPr>
        <w:rPr>
          <w:color w:val="0a0a0a"/>
          <w:sz w:val="24"/>
          <w:szCs w:val="24"/>
          <w:highlight w:val="white"/>
        </w:rPr>
      </w:pPr>
      <w:r w:rsidDel="00000000" w:rsidR="00000000" w:rsidRPr="00000000">
        <w:rPr>
          <w:color w:val="0a0a0a"/>
          <w:sz w:val="24"/>
          <w:szCs w:val="24"/>
          <w:highlight w:val="white"/>
          <w:rtl w:val="0"/>
        </w:rPr>
        <w:t xml:space="preserve">Whereas, the ASCCC guidance is predicated on the fact that “the term ‘probation’ is a deficit-minded principle that is associated with criminal activity, and this term and current practices are perpetuating trauma for students who identify as Black, Indigenous, or People of Color as well as justice-impacted students” with data that shows the negative impact on students’ educational success and mental health; </w:t>
      </w:r>
      <w:r w:rsidDel="00000000" w:rsidR="00000000" w:rsidRPr="00000000">
        <w:rPr>
          <w:color w:val="0a0a0a"/>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0">
      <w:pPr>
        <w:rPr>
          <w:color w:val="0a0a0a"/>
          <w:sz w:val="24"/>
          <w:szCs w:val="24"/>
          <w:highlight w:val="white"/>
        </w:rPr>
      </w:pPr>
      <w:r w:rsidDel="00000000" w:rsidR="00000000" w:rsidRPr="00000000">
        <w:rPr>
          <w:rtl w:val="0"/>
        </w:rPr>
      </w:r>
    </w:p>
    <w:p w:rsidR="00000000" w:rsidDel="00000000" w:rsidP="00000000" w:rsidRDefault="00000000" w:rsidRPr="00000000" w14:paraId="00000011">
      <w:pPr>
        <w:rPr>
          <w:color w:val="0a0a0a"/>
          <w:sz w:val="24"/>
          <w:szCs w:val="24"/>
          <w:highlight w:val="white"/>
        </w:rPr>
      </w:pPr>
      <w:r w:rsidDel="00000000" w:rsidR="00000000" w:rsidRPr="00000000">
        <w:rPr>
          <w:color w:val="0a0a0a"/>
          <w:sz w:val="24"/>
          <w:szCs w:val="24"/>
          <w:highlight w:val="white"/>
          <w:rtl w:val="0"/>
        </w:rPr>
        <w:t xml:space="preserve">Whereas changes to academic probation language leads to a reimagining of academic probation and how it can serve as a more affirming tool to support student progress; therefore, be it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Resolved that the CCSF Academic Senate convene a taskforce to </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implement language changes to the </w:t>
      </w:r>
      <w:hyperlink r:id="rId7">
        <w:r w:rsidDel="00000000" w:rsidR="00000000" w:rsidRPr="00000000">
          <w:rPr>
            <w:color w:val="1155cc"/>
            <w:sz w:val="24"/>
            <w:szCs w:val="24"/>
            <w:u w:val="single"/>
            <w:rtl w:val="0"/>
          </w:rPr>
          <w:t xml:space="preserve">Academic Policies and Procedures</w:t>
        </w:r>
      </w:hyperlink>
      <w:r w:rsidDel="00000000" w:rsidR="00000000" w:rsidRPr="00000000">
        <w:rPr>
          <w:sz w:val="24"/>
          <w:szCs w:val="24"/>
          <w:rtl w:val="0"/>
        </w:rPr>
        <w:t xml:space="preserve"> </w:t>
      </w:r>
      <w:r w:rsidDel="00000000" w:rsidR="00000000" w:rsidRPr="00000000">
        <w:rPr>
          <w:sz w:val="24"/>
          <w:szCs w:val="24"/>
          <w:rtl w:val="0"/>
        </w:rPr>
        <w:t xml:space="preserve">section of the 2023-24 CCSF Catalog (28 references); the </w:t>
      </w:r>
      <w:hyperlink r:id="rId8">
        <w:r w:rsidDel="00000000" w:rsidR="00000000" w:rsidRPr="00000000">
          <w:rPr>
            <w:color w:val="1155cc"/>
            <w:sz w:val="24"/>
            <w:szCs w:val="24"/>
            <w:u w:val="single"/>
            <w:rtl w:val="0"/>
          </w:rPr>
          <w:t xml:space="preserve">AP 5.16 Student Code of Conduct</w:t>
        </w:r>
      </w:hyperlink>
      <w:r w:rsidDel="00000000" w:rsidR="00000000" w:rsidRPr="00000000">
        <w:rPr>
          <w:sz w:val="24"/>
          <w:szCs w:val="24"/>
          <w:rtl w:val="0"/>
        </w:rPr>
        <w:t xml:space="preserve"> (“Sanctions” pg 6), the </w:t>
      </w:r>
      <w:hyperlink r:id="rId9">
        <w:r w:rsidDel="00000000" w:rsidR="00000000" w:rsidRPr="00000000">
          <w:rPr>
            <w:color w:val="1155cc"/>
            <w:sz w:val="24"/>
            <w:szCs w:val="24"/>
            <w:u w:val="single"/>
            <w:rtl w:val="0"/>
          </w:rPr>
          <w:t xml:space="preserve">AP 5.17 Student Discipline</w:t>
        </w:r>
      </w:hyperlink>
      <w:r w:rsidDel="00000000" w:rsidR="00000000" w:rsidRPr="00000000">
        <w:rPr>
          <w:sz w:val="24"/>
          <w:szCs w:val="24"/>
          <w:rtl w:val="0"/>
        </w:rPr>
        <w:t xml:space="preserve"> (5 references), and wherever the term is used in any other CCSF policies, procedures, communications and webpages</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review and revise all communication sent to students regarding their academic progress</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Recommend any further changes to be made in language or process regarding academic progress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Resolved that the Academic Senate Executive Council convene a cross-constituency taskforce that includes Counseling faculty, students, members from the Student Equity Strategies committee, Office of Research and Planning, </w:t>
      </w:r>
      <w:r w:rsidDel="00000000" w:rsidR="00000000" w:rsidRPr="00000000">
        <w:rPr>
          <w:sz w:val="24"/>
          <w:szCs w:val="24"/>
          <w:rtl w:val="0"/>
        </w:rPr>
        <w:t xml:space="preserve">Admissions &amp; Records, financial aid, and other appropriate Student Affairs and Academic Affairs areas.</w:t>
      </w:r>
    </w:p>
    <w:p w:rsidR="00000000" w:rsidDel="00000000" w:rsidP="00000000" w:rsidRDefault="00000000" w:rsidRPr="00000000" w14:paraId="00000019">
      <w:pPr>
        <w:rPr>
          <w:rFonts w:ascii="Palatino" w:cs="Palatino" w:eastAsia="Palatino" w:hAnsi="Palatino"/>
          <w:sz w:val="24"/>
          <w:szCs w:val="24"/>
          <w:highlight w:val="white"/>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color w:val="0a0a0a"/>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color w:val="0a0a0a"/>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a0a0a"/>
          <w:sz w:val="20"/>
          <w:szCs w:val="20"/>
          <w:highlight w:val="white"/>
          <w:rtl w:val="0"/>
        </w:rPr>
        <w:t xml:space="preserve">California Code of Regulations, title 5 §55031 Standards for Probation: </w:t>
      </w:r>
      <w:hyperlink r:id="rId1">
        <w:r w:rsidDel="00000000" w:rsidR="00000000" w:rsidRPr="00000000">
          <w:rPr>
            <w:color w:val="005e99"/>
            <w:sz w:val="20"/>
            <w:szCs w:val="20"/>
            <w:highlight w:val="white"/>
            <w:rtl w:val="0"/>
          </w:rPr>
          <w:t xml:space="preserve">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rsidDel="00000000" w:rsidR="00000000" w:rsidRPr="00000000">
        <w:rPr>
          <w:color w:val="0a0a0a"/>
          <w:sz w:val="20"/>
          <w:szCs w:val="20"/>
          <w:highlight w:val="white"/>
          <w:rtl w:val="0"/>
        </w:rPr>
        <w:t xml:space="preserve">.</w:t>
      </w:r>
    </w:p>
  </w:footnote>
  <w:footnote w:id="1">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Destigmatize Academic Probation language, </w:t>
      </w:r>
      <w:hyperlink r:id="rId2">
        <w:r w:rsidDel="00000000" w:rsidR="00000000" w:rsidRPr="00000000">
          <w:rPr>
            <w:color w:val="1155cc"/>
            <w:sz w:val="20"/>
            <w:szCs w:val="20"/>
            <w:highlight w:val="white"/>
            <w:u w:val="single"/>
            <w:rtl w:val="0"/>
          </w:rPr>
          <w:t xml:space="preserve">https://www.asccc.org/resolutions/destigmatize-academic-probation-language-and-processes</w:t>
        </w:r>
      </w:hyperlink>
      <w:r w:rsidDel="00000000" w:rsidR="00000000" w:rsidRPr="00000000">
        <w:rPr>
          <w:rtl w:val="0"/>
        </w:rPr>
      </w:r>
    </w:p>
  </w:footnote>
  <w:footnote w:id="2">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a0a0a"/>
          <w:sz w:val="20"/>
          <w:szCs w:val="20"/>
          <w:highlight w:val="white"/>
          <w:rtl w:val="0"/>
        </w:rPr>
        <w:t xml:space="preserve">”The African American Tipping Point: Identifying the Factors that Impact Transfer Among African American/Black Community College Students.“ Brief 1 of 3. (October 2022).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csf.edu/sites/default/files/2023/document/ap-5-17.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csf.edu/sites/default/files/2023/document/academic-policies-and-procedures-2023-24.pdf" TargetMode="External"/><Relationship Id="rId8" Type="http://schemas.openxmlformats.org/officeDocument/2006/relationships/hyperlink" Target="https://www.ccsf.edu/sites/default/files/2023/document/ap-5-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 TargetMode="External"/><Relationship Id="rId2" Type="http://schemas.openxmlformats.org/officeDocument/2006/relationships/hyperlink" Target="https://www.asccc.org/resolutions/destigmatize-academic-probation-language-and-proc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