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530" w:type="dxa"/>
        <w:tblInd w:w="-6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90"/>
        <w:gridCol w:w="8640"/>
      </w:tblGrid>
      <w:tr w:rsidR="00622BED" w14:paraId="65E1BB86" w14:textId="77777777" w:rsidTr="00584503">
        <w:tc>
          <w:tcPr>
            <w:tcW w:w="1890" w:type="dxa"/>
            <w:vMerge w:val="restart"/>
          </w:tcPr>
          <w:p w14:paraId="46246470" w14:textId="77777777" w:rsidR="00622BED" w:rsidRDefault="00622BED" w:rsidP="00584503">
            <w:r>
              <w:rPr>
                <w:noProof/>
                <w:lang w:eastAsia="en-US"/>
              </w:rPr>
              <w:drawing>
                <wp:inline distT="0" distB="0" distL="0" distR="0" wp14:anchorId="103AF042" wp14:editId="401FD34B">
                  <wp:extent cx="1045845" cy="1032076"/>
                  <wp:effectExtent l="0" t="0" r="1905" b="0"/>
                  <wp:docPr id="2" name="Picture 2" descr="../Marketing/sdccd_color_ver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../Marketing/sdccd_color_ver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3004" cy="1088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0" w:type="dxa"/>
          </w:tcPr>
          <w:p w14:paraId="7D2DECC8" w14:textId="77777777" w:rsidR="00622BED" w:rsidRPr="005E0EBD" w:rsidRDefault="00622BED" w:rsidP="00584503">
            <w:pPr>
              <w:rPr>
                <w:rFonts w:ascii="Adobe Garamond Pro" w:hAnsi="Adobe Garamond Pro"/>
                <w:b/>
                <w:color w:val="009999"/>
                <w:sz w:val="32"/>
              </w:rPr>
            </w:pPr>
            <w:r w:rsidRPr="005E0EBD">
              <w:rPr>
                <w:rFonts w:ascii="Adobe Garamond Pro" w:hAnsi="Adobe Garamond Pro"/>
                <w:b/>
                <w:color w:val="009999"/>
                <w:sz w:val="32"/>
              </w:rPr>
              <w:t>SAN DIEGO COMMUNITY COLLEGE DISTRICT</w:t>
            </w:r>
          </w:p>
        </w:tc>
      </w:tr>
      <w:tr w:rsidR="00622BED" w14:paraId="14C85A27" w14:textId="77777777" w:rsidTr="00584503">
        <w:tc>
          <w:tcPr>
            <w:tcW w:w="1890" w:type="dxa"/>
            <w:vMerge/>
          </w:tcPr>
          <w:p w14:paraId="1FE40216" w14:textId="77777777" w:rsidR="00622BED" w:rsidRDefault="00622BED" w:rsidP="00584503"/>
        </w:tc>
        <w:tc>
          <w:tcPr>
            <w:tcW w:w="8640" w:type="dxa"/>
          </w:tcPr>
          <w:p w14:paraId="0930C9E2" w14:textId="77777777" w:rsidR="00622BED" w:rsidRPr="005E0EBD" w:rsidRDefault="00622BED" w:rsidP="00584503">
            <w:pPr>
              <w:rPr>
                <w:rFonts w:ascii="Adobe Garamond Pro" w:hAnsi="Adobe Garamond Pro"/>
                <w:i/>
                <w:color w:val="009999"/>
                <w:sz w:val="21"/>
              </w:rPr>
            </w:pPr>
            <w:r w:rsidRPr="005E0EBD">
              <w:rPr>
                <w:rFonts w:ascii="Adobe Garamond Pro" w:hAnsi="Adobe Garamond Pro"/>
                <w:i/>
                <w:color w:val="009999"/>
                <w:sz w:val="21"/>
              </w:rPr>
              <w:t>3375 Camino del Rio South</w:t>
            </w:r>
            <w:r w:rsidRPr="005E0EBD">
              <w:rPr>
                <w:rFonts w:ascii="Adobe Garamond Pro" w:hAnsi="Adobe Garamond Pro"/>
                <w:i/>
                <w:color w:val="009999"/>
                <w:sz w:val="21"/>
              </w:rPr>
              <w:br/>
              <w:t>San Diego, California 92108-3883</w:t>
            </w:r>
          </w:p>
          <w:p w14:paraId="2FBD85F2" w14:textId="77777777" w:rsidR="00622BED" w:rsidRPr="005E0EBD" w:rsidRDefault="00622BED" w:rsidP="00584503">
            <w:pPr>
              <w:rPr>
                <w:rFonts w:ascii="Adobe Garamond Pro" w:hAnsi="Adobe Garamond Pro"/>
                <w:color w:val="009999"/>
              </w:rPr>
            </w:pPr>
            <w:r w:rsidRPr="005E0EBD">
              <w:rPr>
                <w:rFonts w:ascii="Adobe Garamond Pro" w:hAnsi="Adobe Garamond Pro"/>
                <w:i/>
                <w:color w:val="009999"/>
                <w:sz w:val="21"/>
              </w:rPr>
              <w:t>619-388-6500</w:t>
            </w:r>
          </w:p>
        </w:tc>
      </w:tr>
      <w:tr w:rsidR="00622BED" w14:paraId="1EB7059C" w14:textId="77777777" w:rsidTr="00584503">
        <w:tc>
          <w:tcPr>
            <w:tcW w:w="1890" w:type="dxa"/>
            <w:vMerge/>
          </w:tcPr>
          <w:p w14:paraId="65373759" w14:textId="77777777" w:rsidR="00622BED" w:rsidRDefault="00622BED" w:rsidP="00584503"/>
        </w:tc>
        <w:tc>
          <w:tcPr>
            <w:tcW w:w="8640" w:type="dxa"/>
          </w:tcPr>
          <w:p w14:paraId="12533F7B" w14:textId="77777777" w:rsidR="00622BED" w:rsidRPr="005E0EBD" w:rsidRDefault="00622BED" w:rsidP="00584503">
            <w:pPr>
              <w:rPr>
                <w:rFonts w:ascii="Adobe Garamond Pro" w:hAnsi="Adobe Garamond Pro"/>
                <w:color w:val="009999"/>
              </w:rPr>
            </w:pPr>
            <w:r w:rsidRPr="005E0EBD">
              <w:rPr>
                <w:rFonts w:ascii="Adobe Garamond Pro" w:hAnsi="Adobe Garamond Pro"/>
                <w:color w:val="009999"/>
                <w:sz w:val="18"/>
              </w:rPr>
              <w:t>CITY COLLEGE | MESA COLLEGE | MIRAMAR COLLEGE | C</w:t>
            </w:r>
            <w:r>
              <w:rPr>
                <w:rFonts w:ascii="Adobe Garamond Pro" w:hAnsi="Adobe Garamond Pro"/>
                <w:color w:val="009999"/>
                <w:sz w:val="18"/>
              </w:rPr>
              <w:t>OLLEGE OF C</w:t>
            </w:r>
            <w:r w:rsidRPr="005E0EBD">
              <w:rPr>
                <w:rFonts w:ascii="Adobe Garamond Pro" w:hAnsi="Adobe Garamond Pro"/>
                <w:color w:val="009999"/>
                <w:sz w:val="18"/>
              </w:rPr>
              <w:t>ONTINUING EDUCATION</w:t>
            </w:r>
          </w:p>
        </w:tc>
      </w:tr>
      <w:tr w:rsidR="00622BED" w:rsidRPr="005E0EBD" w14:paraId="2C5D3EB2" w14:textId="77777777" w:rsidTr="00584503">
        <w:trPr>
          <w:trHeight w:val="260"/>
        </w:trPr>
        <w:tc>
          <w:tcPr>
            <w:tcW w:w="1890" w:type="dxa"/>
            <w:vMerge/>
          </w:tcPr>
          <w:p w14:paraId="6E5F06CA" w14:textId="77777777" w:rsidR="00622BED" w:rsidRDefault="00622BED" w:rsidP="00584503"/>
        </w:tc>
        <w:tc>
          <w:tcPr>
            <w:tcW w:w="8640" w:type="dxa"/>
          </w:tcPr>
          <w:p w14:paraId="4E945A69" w14:textId="77777777" w:rsidR="00622BED" w:rsidRPr="005E0EBD" w:rsidRDefault="00622BED" w:rsidP="00584503">
            <w:pPr>
              <w:jc w:val="right"/>
              <w:rPr>
                <w:rFonts w:ascii="Adobe Garamond Pro" w:hAnsi="Adobe Garamond Pro"/>
                <w:b/>
                <w:i/>
                <w:color w:val="009999"/>
              </w:rPr>
            </w:pPr>
            <w:r>
              <w:rPr>
                <w:rFonts w:ascii="Adobe Garamond Pro" w:hAnsi="Adobe Garamond Pro"/>
                <w:b/>
                <w:i/>
                <w:color w:val="009999"/>
              </w:rPr>
              <w:t>Educational</w:t>
            </w:r>
            <w:r w:rsidRPr="005E0EBD">
              <w:rPr>
                <w:rFonts w:ascii="Adobe Garamond Pro" w:hAnsi="Adobe Garamond Pro"/>
                <w:b/>
                <w:i/>
                <w:color w:val="009999"/>
              </w:rPr>
              <w:t xml:space="preserve"> Services</w:t>
            </w:r>
          </w:p>
        </w:tc>
      </w:tr>
    </w:tbl>
    <w:p w14:paraId="60508260" w14:textId="77777777" w:rsidR="00622BED" w:rsidRDefault="00622BED" w:rsidP="002B5CC6">
      <w:pPr>
        <w:rPr>
          <w:b/>
          <w:bCs/>
          <w:sz w:val="32"/>
          <w:szCs w:val="32"/>
        </w:rPr>
      </w:pPr>
    </w:p>
    <w:p w14:paraId="5D6CA5B8" w14:textId="3634F98E" w:rsidR="002B5CC6" w:rsidRPr="002B5CC6" w:rsidRDefault="00D75ADE" w:rsidP="002B5CC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SDCCD Enrollment Processes Workgroup</w:t>
      </w:r>
    </w:p>
    <w:p w14:paraId="2835A39F" w14:textId="77777777" w:rsidR="002B5CC6" w:rsidRDefault="002B5CC6" w:rsidP="00622BED">
      <w:pPr>
        <w:rPr>
          <w:b/>
          <w:bCs/>
          <w:sz w:val="22"/>
          <w:szCs w:val="22"/>
        </w:rPr>
      </w:pPr>
    </w:p>
    <w:p w14:paraId="108080FB" w14:textId="19322BFB" w:rsidR="00622BED" w:rsidRDefault="00D75ADE" w:rsidP="00D75ADE">
      <w:pPr>
        <w:ind w:left="1440" w:hanging="1440"/>
        <w:rPr>
          <w:sz w:val="22"/>
          <w:szCs w:val="22"/>
        </w:rPr>
      </w:pPr>
      <w:r>
        <w:rPr>
          <w:b/>
          <w:bCs/>
          <w:sz w:val="22"/>
          <w:szCs w:val="22"/>
        </w:rPr>
        <w:t>PURPOSE</w:t>
      </w:r>
      <w:r w:rsidR="002B5CC6" w:rsidRPr="002B5CC6">
        <w:rPr>
          <w:b/>
          <w:bCs/>
          <w:sz w:val="22"/>
          <w:szCs w:val="22"/>
        </w:rPr>
        <w:t xml:space="preserve">: </w:t>
      </w:r>
      <w:r w:rsidR="002B5CC6">
        <w:rPr>
          <w:sz w:val="22"/>
          <w:szCs w:val="22"/>
        </w:rPr>
        <w:tab/>
      </w:r>
      <w:r>
        <w:rPr>
          <w:sz w:val="22"/>
          <w:szCs w:val="22"/>
        </w:rPr>
        <w:t xml:space="preserve">The purpose of </w:t>
      </w:r>
      <w:r w:rsidR="001A7F3D">
        <w:rPr>
          <w:sz w:val="22"/>
          <w:szCs w:val="22"/>
        </w:rPr>
        <w:t>this workgroup is to review the enrollment processes for the San Diego Community College District with the aim of increasing student access</w:t>
      </w:r>
      <w:r w:rsidR="00B168A2">
        <w:rPr>
          <w:sz w:val="22"/>
          <w:szCs w:val="22"/>
        </w:rPr>
        <w:t xml:space="preserve"> and streamlining the enrollment process, while still complying with applicable federal, state and board policies.  </w:t>
      </w:r>
      <w:r>
        <w:rPr>
          <w:sz w:val="22"/>
          <w:szCs w:val="22"/>
        </w:rPr>
        <w:t xml:space="preserve"> </w:t>
      </w:r>
    </w:p>
    <w:p w14:paraId="5BE8B2A2" w14:textId="77777777" w:rsidR="00B168A2" w:rsidRDefault="00B168A2" w:rsidP="00D75ADE">
      <w:pPr>
        <w:ind w:left="1440" w:hanging="1440"/>
        <w:rPr>
          <w:sz w:val="22"/>
          <w:szCs w:val="22"/>
        </w:rPr>
      </w:pPr>
    </w:p>
    <w:p w14:paraId="403F1A6B" w14:textId="73F33614" w:rsidR="00B168A2" w:rsidRDefault="00B168A2" w:rsidP="00D75ADE">
      <w:pPr>
        <w:ind w:left="1440" w:hanging="1440"/>
        <w:rPr>
          <w:sz w:val="22"/>
          <w:szCs w:val="22"/>
        </w:rPr>
      </w:pPr>
      <w:r>
        <w:rPr>
          <w:sz w:val="22"/>
          <w:szCs w:val="22"/>
        </w:rPr>
        <w:tab/>
        <w:t xml:space="preserve">Recommendations will be provided to District Student Services Council for review.  </w:t>
      </w:r>
    </w:p>
    <w:p w14:paraId="47D06595" w14:textId="77777777" w:rsidR="00622BED" w:rsidRDefault="00622BED" w:rsidP="00622BED">
      <w:pPr>
        <w:rPr>
          <w:sz w:val="22"/>
          <w:szCs w:val="22"/>
        </w:rPr>
      </w:pPr>
    </w:p>
    <w:p w14:paraId="45A9FADB" w14:textId="59652B81" w:rsidR="00622BED" w:rsidRDefault="00D75ADE" w:rsidP="00D75ADE">
      <w:pPr>
        <w:rPr>
          <w:sz w:val="22"/>
          <w:szCs w:val="22"/>
        </w:rPr>
      </w:pPr>
      <w:r>
        <w:rPr>
          <w:b/>
          <w:bCs/>
          <w:sz w:val="22"/>
          <w:szCs w:val="22"/>
        </w:rPr>
        <w:t>TYPE</w:t>
      </w:r>
      <w:r w:rsidR="00622BED" w:rsidRPr="002B5CC6">
        <w:rPr>
          <w:b/>
          <w:bCs/>
          <w:sz w:val="22"/>
          <w:szCs w:val="22"/>
        </w:rPr>
        <w:t>:</w:t>
      </w:r>
      <w:r w:rsidR="00622BED">
        <w:rPr>
          <w:sz w:val="22"/>
          <w:szCs w:val="22"/>
        </w:rPr>
        <w:t xml:space="preserve"> </w:t>
      </w:r>
      <w:r w:rsidR="002B5CC6">
        <w:rPr>
          <w:sz w:val="22"/>
          <w:szCs w:val="22"/>
        </w:rPr>
        <w:tab/>
      </w:r>
      <w:r w:rsidR="002B5CC6">
        <w:rPr>
          <w:sz w:val="22"/>
          <w:szCs w:val="22"/>
        </w:rPr>
        <w:tab/>
      </w:r>
      <w:r>
        <w:rPr>
          <w:sz w:val="22"/>
          <w:szCs w:val="22"/>
        </w:rPr>
        <w:t>Workgroup</w:t>
      </w:r>
    </w:p>
    <w:p w14:paraId="6B30ABFA" w14:textId="77777777" w:rsidR="00622BED" w:rsidRDefault="00622BED" w:rsidP="00622BED">
      <w:pPr>
        <w:rPr>
          <w:sz w:val="22"/>
          <w:szCs w:val="22"/>
        </w:rPr>
      </w:pPr>
    </w:p>
    <w:p w14:paraId="269EF4A3" w14:textId="0D12EF68" w:rsidR="00622BED" w:rsidRDefault="00D75ADE" w:rsidP="00622BED">
      <w:pPr>
        <w:rPr>
          <w:sz w:val="22"/>
          <w:szCs w:val="22"/>
        </w:rPr>
      </w:pPr>
      <w:r>
        <w:rPr>
          <w:b/>
          <w:bCs/>
          <w:sz w:val="22"/>
          <w:szCs w:val="22"/>
        </w:rPr>
        <w:t>Chair(s)</w:t>
      </w:r>
      <w:r w:rsidR="00622BED" w:rsidRPr="002B5CC6">
        <w:rPr>
          <w:b/>
          <w:bCs/>
          <w:sz w:val="22"/>
          <w:szCs w:val="22"/>
        </w:rPr>
        <w:t>:</w:t>
      </w:r>
      <w:r w:rsidR="00622BED">
        <w:rPr>
          <w:sz w:val="22"/>
          <w:szCs w:val="22"/>
        </w:rPr>
        <w:t xml:space="preserve"> </w:t>
      </w:r>
      <w:r w:rsidR="002B5CC6">
        <w:rPr>
          <w:sz w:val="22"/>
          <w:szCs w:val="22"/>
        </w:rPr>
        <w:tab/>
      </w:r>
      <w:r>
        <w:rPr>
          <w:sz w:val="22"/>
          <w:szCs w:val="22"/>
        </w:rPr>
        <w:t>TBD</w:t>
      </w:r>
    </w:p>
    <w:p w14:paraId="79DB63AC" w14:textId="77777777" w:rsidR="00786DDC" w:rsidRDefault="00786DDC" w:rsidP="00622BED">
      <w:pPr>
        <w:rPr>
          <w:sz w:val="22"/>
          <w:szCs w:val="22"/>
        </w:rPr>
      </w:pPr>
    </w:p>
    <w:p w14:paraId="6BDA1C70" w14:textId="6839026E" w:rsidR="002B5CC6" w:rsidRDefault="00B168A2" w:rsidP="00622BED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Committee Composition</w:t>
      </w:r>
      <w:r w:rsidR="002B5CC6" w:rsidRPr="002B5CC6">
        <w:rPr>
          <w:b/>
          <w:bCs/>
          <w:sz w:val="22"/>
          <w:szCs w:val="22"/>
        </w:rPr>
        <w:t>:</w:t>
      </w:r>
      <w:r w:rsidR="002B5CC6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br/>
      </w:r>
    </w:p>
    <w:p w14:paraId="2D60785B" w14:textId="77777777" w:rsidR="00D75ADE" w:rsidRDefault="00D75ADE" w:rsidP="00D75ADE">
      <w:pPr>
        <w:pStyle w:val="ListParagraph"/>
        <w:numPr>
          <w:ilvl w:val="0"/>
          <w:numId w:val="5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Dean, Student Services</w:t>
      </w:r>
    </w:p>
    <w:p w14:paraId="632F6C74" w14:textId="10786725" w:rsidR="00D75ADE" w:rsidRPr="00D75ADE" w:rsidRDefault="00D75ADE" w:rsidP="00D75ADE">
      <w:pPr>
        <w:pStyle w:val="ListParagraph"/>
        <w:numPr>
          <w:ilvl w:val="0"/>
          <w:numId w:val="5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Dean, Instructional Services</w:t>
      </w:r>
    </w:p>
    <w:p w14:paraId="0073D844" w14:textId="4D5223AC" w:rsidR="00D75ADE" w:rsidRDefault="00D75ADE" w:rsidP="00D75ADE">
      <w:pPr>
        <w:pStyle w:val="ListParagraph"/>
        <w:numPr>
          <w:ilvl w:val="0"/>
          <w:numId w:val="5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6 instructional faculty representatives from a diverse set of disciplines</w:t>
      </w:r>
    </w:p>
    <w:p w14:paraId="3E927CEE" w14:textId="5743158B" w:rsidR="00D75ADE" w:rsidRPr="00D75ADE" w:rsidRDefault="00D75ADE" w:rsidP="00D75ADE">
      <w:pPr>
        <w:ind w:left="1080"/>
        <w:rPr>
          <w:sz w:val="22"/>
          <w:szCs w:val="22"/>
        </w:rPr>
      </w:pPr>
      <w:r w:rsidRPr="00D75ADE">
        <w:rPr>
          <w:sz w:val="22"/>
          <w:szCs w:val="22"/>
        </w:rPr>
        <w:t>Examples:</w:t>
      </w:r>
    </w:p>
    <w:p w14:paraId="47403787" w14:textId="2649C5B4" w:rsidR="00D75ADE" w:rsidRPr="00D75ADE" w:rsidRDefault="00D75ADE" w:rsidP="00D75ADE">
      <w:pPr>
        <w:pStyle w:val="ListParagraph"/>
        <w:numPr>
          <w:ilvl w:val="1"/>
          <w:numId w:val="5"/>
        </w:numPr>
        <w:rPr>
          <w:i/>
          <w:iCs/>
          <w:sz w:val="22"/>
          <w:szCs w:val="22"/>
        </w:rPr>
      </w:pPr>
      <w:r w:rsidRPr="00D75ADE">
        <w:rPr>
          <w:i/>
          <w:iCs/>
          <w:sz w:val="22"/>
          <w:szCs w:val="22"/>
        </w:rPr>
        <w:t>CTE Faculty</w:t>
      </w:r>
    </w:p>
    <w:p w14:paraId="5F76288F" w14:textId="558DB466" w:rsidR="00D75ADE" w:rsidRPr="00D75ADE" w:rsidRDefault="00D75ADE" w:rsidP="00D75ADE">
      <w:pPr>
        <w:pStyle w:val="ListParagraph"/>
        <w:numPr>
          <w:ilvl w:val="1"/>
          <w:numId w:val="5"/>
        </w:numPr>
        <w:rPr>
          <w:i/>
          <w:iCs/>
          <w:sz w:val="22"/>
          <w:szCs w:val="22"/>
        </w:rPr>
      </w:pPr>
      <w:r w:rsidRPr="00D75ADE">
        <w:rPr>
          <w:i/>
          <w:iCs/>
          <w:sz w:val="22"/>
          <w:szCs w:val="22"/>
        </w:rPr>
        <w:t>STEM Faculty</w:t>
      </w:r>
    </w:p>
    <w:p w14:paraId="39153FCB" w14:textId="489E9FCF" w:rsidR="00D75ADE" w:rsidRPr="00D75ADE" w:rsidRDefault="00D75ADE" w:rsidP="00D75ADE">
      <w:pPr>
        <w:pStyle w:val="ListParagraph"/>
        <w:numPr>
          <w:ilvl w:val="1"/>
          <w:numId w:val="5"/>
        </w:numPr>
        <w:rPr>
          <w:i/>
          <w:iCs/>
          <w:sz w:val="22"/>
          <w:szCs w:val="22"/>
        </w:rPr>
      </w:pPr>
      <w:r w:rsidRPr="00D75ADE">
        <w:rPr>
          <w:i/>
          <w:iCs/>
          <w:sz w:val="22"/>
          <w:szCs w:val="22"/>
        </w:rPr>
        <w:t>Language/Communications Faculty</w:t>
      </w:r>
    </w:p>
    <w:p w14:paraId="3DCCADE4" w14:textId="5C082AE9" w:rsidR="00D75ADE" w:rsidRPr="00D75ADE" w:rsidRDefault="00D75ADE" w:rsidP="00D75ADE">
      <w:pPr>
        <w:pStyle w:val="ListParagraph"/>
        <w:numPr>
          <w:ilvl w:val="1"/>
          <w:numId w:val="5"/>
        </w:numPr>
        <w:rPr>
          <w:i/>
          <w:iCs/>
          <w:sz w:val="22"/>
          <w:szCs w:val="22"/>
        </w:rPr>
      </w:pPr>
      <w:r w:rsidRPr="00D75ADE">
        <w:rPr>
          <w:i/>
          <w:iCs/>
          <w:sz w:val="22"/>
          <w:szCs w:val="22"/>
        </w:rPr>
        <w:t xml:space="preserve">Exercise Science </w:t>
      </w:r>
    </w:p>
    <w:p w14:paraId="66E217AA" w14:textId="1C019E00" w:rsidR="00D75ADE" w:rsidRPr="00D75ADE" w:rsidRDefault="00D75ADE" w:rsidP="00D75ADE">
      <w:pPr>
        <w:pStyle w:val="ListParagraph"/>
        <w:numPr>
          <w:ilvl w:val="1"/>
          <w:numId w:val="5"/>
        </w:numPr>
        <w:rPr>
          <w:i/>
          <w:iCs/>
          <w:sz w:val="22"/>
          <w:szCs w:val="22"/>
        </w:rPr>
      </w:pPr>
      <w:r w:rsidRPr="00D75ADE">
        <w:rPr>
          <w:i/>
          <w:iCs/>
          <w:sz w:val="22"/>
          <w:szCs w:val="22"/>
        </w:rPr>
        <w:t>Visual/Performing Arts Faculty</w:t>
      </w:r>
    </w:p>
    <w:p w14:paraId="63DCDC1C" w14:textId="40FA0FE4" w:rsidR="00D75ADE" w:rsidRPr="00D75ADE" w:rsidRDefault="001A7F3D" w:rsidP="00D75ADE">
      <w:pPr>
        <w:pStyle w:val="ListParagraph"/>
        <w:numPr>
          <w:ilvl w:val="1"/>
          <w:numId w:val="5"/>
        </w:numPr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Faculty with experience with courses held online (sync or async)</w:t>
      </w:r>
    </w:p>
    <w:p w14:paraId="32D44206" w14:textId="5BA4899E" w:rsidR="00D75ADE" w:rsidRDefault="00D75ADE" w:rsidP="00D75ADE">
      <w:pPr>
        <w:pStyle w:val="ListParagraph"/>
        <w:numPr>
          <w:ilvl w:val="0"/>
          <w:numId w:val="5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 Counseling Faculty</w:t>
      </w:r>
    </w:p>
    <w:p w14:paraId="0B31C9E0" w14:textId="7FD455D7" w:rsidR="00D75ADE" w:rsidRDefault="00D75ADE" w:rsidP="00D75ADE">
      <w:pPr>
        <w:pStyle w:val="ListParagraph"/>
        <w:numPr>
          <w:ilvl w:val="0"/>
          <w:numId w:val="5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 Special Funded Programs Counseling Faculty</w:t>
      </w:r>
    </w:p>
    <w:p w14:paraId="3B95C5B9" w14:textId="5540894D" w:rsidR="00D75ADE" w:rsidRDefault="00D75ADE" w:rsidP="00D75ADE">
      <w:pPr>
        <w:pStyle w:val="ListParagraph"/>
        <w:numPr>
          <w:ilvl w:val="0"/>
          <w:numId w:val="5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Admissions and Records Representative</w:t>
      </w:r>
    </w:p>
    <w:p w14:paraId="607303BD" w14:textId="1950C79E" w:rsidR="00D75ADE" w:rsidRDefault="00D75ADE" w:rsidP="00D75ADE">
      <w:pPr>
        <w:pStyle w:val="ListParagraph"/>
        <w:numPr>
          <w:ilvl w:val="0"/>
          <w:numId w:val="5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District Educational Services Business Systems Analyst</w:t>
      </w:r>
    </w:p>
    <w:p w14:paraId="6934A4C4" w14:textId="3A779BBC" w:rsidR="00D75ADE" w:rsidRPr="00D75ADE" w:rsidRDefault="00D75ADE" w:rsidP="00D75ADE">
      <w:pPr>
        <w:pStyle w:val="ListParagraph"/>
        <w:numPr>
          <w:ilvl w:val="0"/>
          <w:numId w:val="5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IT Applications Manager</w:t>
      </w:r>
    </w:p>
    <w:p w14:paraId="05CDDC21" w14:textId="77777777" w:rsidR="002B5CC6" w:rsidRDefault="002B5CC6" w:rsidP="00786DDC">
      <w:pPr>
        <w:rPr>
          <w:sz w:val="22"/>
          <w:szCs w:val="22"/>
        </w:rPr>
      </w:pPr>
    </w:p>
    <w:p w14:paraId="391B4887" w14:textId="72D806EB" w:rsidR="00E8752A" w:rsidRPr="00622BED" w:rsidRDefault="00E8752A" w:rsidP="00786DDC">
      <w:pPr>
        <w:rPr>
          <w:sz w:val="22"/>
          <w:szCs w:val="22"/>
        </w:rPr>
      </w:pPr>
    </w:p>
    <w:sectPr w:rsidR="00E8752A" w:rsidRPr="00622BED" w:rsidSect="00E8752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837" w:right="1440" w:bottom="82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F848F7" w14:textId="77777777" w:rsidR="00E416DC" w:rsidRDefault="00E416DC" w:rsidP="00E416DC">
      <w:r>
        <w:separator/>
      </w:r>
    </w:p>
  </w:endnote>
  <w:endnote w:type="continuationSeparator" w:id="0">
    <w:p w14:paraId="74D32746" w14:textId="77777777" w:rsidR="00E416DC" w:rsidRDefault="00E416DC" w:rsidP="00E416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dobe Garamond Pro">
    <w:altName w:val="Nyala"/>
    <w:panose1 w:val="020B0604020202020204"/>
    <w:charset w:val="00"/>
    <w:family w:val="roma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AC7F7" w14:textId="77777777" w:rsidR="00E416DC" w:rsidRDefault="00E416D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A2F28" w14:textId="77777777" w:rsidR="00E416DC" w:rsidRDefault="00E416D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0F221" w14:textId="77777777" w:rsidR="00E416DC" w:rsidRDefault="00E416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EABA8F" w14:textId="77777777" w:rsidR="00E416DC" w:rsidRDefault="00E416DC" w:rsidP="00E416DC">
      <w:r>
        <w:separator/>
      </w:r>
    </w:p>
  </w:footnote>
  <w:footnote w:type="continuationSeparator" w:id="0">
    <w:p w14:paraId="0D425561" w14:textId="77777777" w:rsidR="00E416DC" w:rsidRDefault="00E416DC" w:rsidP="00E416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AB1CD" w14:textId="50DF0F31" w:rsidR="00E416DC" w:rsidRDefault="00E416DC">
    <w:pPr>
      <w:pStyle w:val="Header"/>
    </w:pPr>
    <w:r>
      <w:rPr>
        <w:noProof/>
      </w:rPr>
    </w:r>
    <w:r w:rsidR="00E416DC">
      <w:rPr>
        <w:noProof/>
      </w:rPr>
      <w:pict w14:anchorId="1856A9E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0091850" o:spid="_x0000_s1026" type="#_x0000_t136" alt="" style="position:absolute;margin-left:0;margin-top:0;width:494.9pt;height:164.95pt;rotation:315;z-index:-251642880;mso-wrap-edited:f;mso-width-percent:0;mso-height-percent:0;mso-position-horizontal:center;mso-position-horizontal-relative:margin;mso-position-vertical:center;mso-position-vertical-relative:margin;mso-width-percent:0;mso-height-percent:0" o:allowincell="f" fillcolor="#c00000" stroked="f">
          <v:fill opacity="24248f"/>
          <v:textpath style="font-family:&quot;Calibri&quot;;font-size:1pt" string="DRAFT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7F1DD" w14:textId="48EA40EF" w:rsidR="00E416DC" w:rsidRDefault="00E416DC">
    <w:pPr>
      <w:pStyle w:val="Header"/>
    </w:pPr>
    <w:r>
      <w:rPr>
        <w:noProof/>
      </w:rPr>
    </w:r>
    <w:r w:rsidR="00E416DC">
      <w:rPr>
        <w:noProof/>
      </w:rPr>
      <w:pict w14:anchorId="5DC9DE3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0091851" o:spid="_x0000_s1026" type="#_x0000_t136" alt="" style="position:absolute;margin-left:0;margin-top:0;width:494.9pt;height:164.95pt;rotation:315;z-index:-251640832;mso-wrap-edited:f;mso-width-percent:0;mso-height-percent:0;mso-position-horizontal:center;mso-position-horizontal-relative:margin;mso-position-vertical:center;mso-position-vertical-relative:margin;mso-width-percent:0;mso-height-percent:0" o:allowincell="f" fillcolor="#c00000" stroked="f">
          <v:fill opacity="24248f"/>
          <v:textpath style="font-family:&quot;Calibri&quot;;font-size:1pt" string="DRAFT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B820B" w14:textId="484F946C" w:rsidR="00E416DC" w:rsidRDefault="00E416DC">
    <w:pPr>
      <w:pStyle w:val="Header"/>
    </w:pPr>
    <w:r>
      <w:rPr>
        <w:noProof/>
      </w:rPr>
    </w:r>
    <w:r w:rsidR="00E416DC">
      <w:rPr>
        <w:noProof/>
      </w:rPr>
      <w:pict w14:anchorId="2FFDDF4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0091849" o:spid="_x0000_s1026" type="#_x0000_t136" alt="" style="position:absolute;margin-left:0;margin-top:0;width:494.9pt;height:164.95pt;rotation:315;z-index:-251644928;mso-wrap-edited:f;mso-width-percent:0;mso-height-percent:0;mso-position-horizontal:center;mso-position-horizontal-relative:margin;mso-position-vertical:center;mso-position-vertical-relative:margin;mso-width-percent:0;mso-height-percent:0" o:allowincell="f" fillcolor="#c00000" stroked="f">
          <v:fill opacity="24248f"/>
          <v:textpath style="font-family:&quot;Calibri&quot;;font-size:1pt" string="DRAF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3788D"/>
    <w:multiLevelType w:val="hybridMultilevel"/>
    <w:tmpl w:val="08B41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4B529C"/>
    <w:multiLevelType w:val="hybridMultilevel"/>
    <w:tmpl w:val="F2125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422DBB"/>
    <w:multiLevelType w:val="hybridMultilevel"/>
    <w:tmpl w:val="1DCA1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356CF1"/>
    <w:multiLevelType w:val="hybridMultilevel"/>
    <w:tmpl w:val="75B666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EC513B"/>
    <w:multiLevelType w:val="hybridMultilevel"/>
    <w:tmpl w:val="F0441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1572040">
    <w:abstractNumId w:val="3"/>
  </w:num>
  <w:num w:numId="2" w16cid:durableId="1202791974">
    <w:abstractNumId w:val="2"/>
  </w:num>
  <w:num w:numId="3" w16cid:durableId="4331744">
    <w:abstractNumId w:val="1"/>
  </w:num>
  <w:num w:numId="4" w16cid:durableId="505826245">
    <w:abstractNumId w:val="0"/>
  </w:num>
  <w:num w:numId="5" w16cid:durableId="72410807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BED"/>
    <w:rsid w:val="001A7F3D"/>
    <w:rsid w:val="002B5CC6"/>
    <w:rsid w:val="003E52A2"/>
    <w:rsid w:val="00622BED"/>
    <w:rsid w:val="00786DDC"/>
    <w:rsid w:val="00B168A2"/>
    <w:rsid w:val="00CB711D"/>
    <w:rsid w:val="00D75ADE"/>
    <w:rsid w:val="00E3679F"/>
    <w:rsid w:val="00E416DC"/>
    <w:rsid w:val="00E50DCB"/>
    <w:rsid w:val="00E66519"/>
    <w:rsid w:val="00E8752A"/>
    <w:rsid w:val="00FC7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6347B4"/>
  <w15:chartTrackingRefBased/>
  <w15:docId w15:val="{98007A8A-D290-2F43-A93E-50F441999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2BED"/>
    <w:rPr>
      <w:rFonts w:eastAsiaTheme="minorEastAsia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2B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50DC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416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16DC"/>
    <w:rPr>
      <w:rFonts w:eastAsiaTheme="minorEastAsia"/>
      <w:lang w:eastAsia="ko-KR"/>
    </w:rPr>
  </w:style>
  <w:style w:type="paragraph" w:styleId="Footer">
    <w:name w:val="footer"/>
    <w:basedOn w:val="Normal"/>
    <w:link w:val="FooterChar"/>
    <w:uiPriority w:val="99"/>
    <w:unhideWhenUsed/>
    <w:rsid w:val="00E416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16DC"/>
    <w:rPr>
      <w:rFonts w:eastAsiaTheme="minorEastAsia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40FEED7-ABBE-2A4B-ABD8-283E28DD9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DeVore</dc:creator>
  <cp:keywords/>
  <dc:description/>
  <cp:lastModifiedBy>Victor DeVore</cp:lastModifiedBy>
  <cp:revision>2</cp:revision>
  <dcterms:created xsi:type="dcterms:W3CDTF">2023-03-24T22:28:00Z</dcterms:created>
  <dcterms:modified xsi:type="dcterms:W3CDTF">2023-03-24T22:28:00Z</dcterms:modified>
</cp:coreProperties>
</file>