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328E" w14:textId="3153A023" w:rsidR="00A069F5" w:rsidRPr="00FC4357" w:rsidRDefault="00A069F5" w:rsidP="003E24C7">
      <w:pPr>
        <w:tabs>
          <w:tab w:val="left" w:pos="2100"/>
        </w:tabs>
        <w:jc w:val="center"/>
        <w:rPr>
          <w:rStyle w:val="Strong"/>
          <w:rFonts w:ascii="Arial" w:hAnsi="Arial" w:cs="Arial"/>
          <w:sz w:val="22"/>
        </w:rPr>
      </w:pPr>
      <w:r w:rsidRPr="00FC4357">
        <w:rPr>
          <w:noProof/>
        </w:rPr>
        <w:drawing>
          <wp:anchor distT="0" distB="0" distL="114300" distR="114300" simplePos="0" relativeHeight="251659264" behindDoc="0" locked="0" layoutInCell="1" allowOverlap="1" wp14:anchorId="61B41CE6" wp14:editId="47CFEDEA">
            <wp:simplePos x="0" y="0"/>
            <wp:positionH relativeFrom="column">
              <wp:posOffset>0</wp:posOffset>
            </wp:positionH>
            <wp:positionV relativeFrom="paragraph">
              <wp:posOffset>-706120</wp:posOffset>
            </wp:positionV>
            <wp:extent cx="5943600" cy="952697"/>
            <wp:effectExtent l="0" t="0" r="0" b="0"/>
            <wp:wrapNone/>
            <wp:docPr id="1" name="Picture 1" descr="https://www.sdccd.edu/docs/District/logos/DO%20logos/SDCCELogos2021/District_Horizontal/SDCCD_HorizWithColleges2021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dccd.edu/docs/District/logos/DO%20logos/SDCCELogos2021/District_Horizontal/SDCCD_HorizWithColleges2021_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52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9F5" w14:textId="77777777" w:rsidR="00CF5F9D" w:rsidRDefault="00C73232" w:rsidP="003E24C7">
      <w:pPr>
        <w:tabs>
          <w:tab w:val="left" w:pos="2100"/>
        </w:tabs>
        <w:jc w:val="center"/>
        <w:rPr>
          <w:rStyle w:val="Strong"/>
          <w:rFonts w:ascii="Arial" w:hAnsi="Arial" w:cs="Arial"/>
          <w:sz w:val="22"/>
        </w:rPr>
      </w:pPr>
      <w:r>
        <w:rPr>
          <w:rStyle w:val="Strong"/>
          <w:rFonts w:ascii="Arial" w:hAnsi="Arial" w:cs="Arial"/>
          <w:sz w:val="22"/>
        </w:rPr>
        <w:t xml:space="preserve">Administrative </w:t>
      </w:r>
      <w:r w:rsidR="003E24C7">
        <w:rPr>
          <w:rStyle w:val="Strong"/>
          <w:rFonts w:ascii="Arial" w:hAnsi="Arial" w:cs="Arial"/>
          <w:sz w:val="22"/>
        </w:rPr>
        <w:t>Procedure</w:t>
      </w:r>
    </w:p>
    <w:p w14:paraId="404DB3AC" w14:textId="77777777" w:rsidR="00C83EEB" w:rsidRPr="007D4903" w:rsidRDefault="00C83EEB" w:rsidP="00C83EEB">
      <w:pPr>
        <w:pStyle w:val="NormalWeb"/>
        <w:spacing w:before="0" w:beforeAutospacing="0" w:after="0" w:afterAutospacing="0"/>
        <w:jc w:val="center"/>
        <w:rPr>
          <w:rFonts w:ascii="Arial" w:hAnsi="Arial" w:cs="Arial"/>
          <w:sz w:val="22"/>
        </w:rPr>
      </w:pPr>
    </w:p>
    <w:p w14:paraId="7FF294E3" w14:textId="5BE5A9B6" w:rsidR="00CF5F9D" w:rsidRDefault="00C97D51" w:rsidP="00C83EEB">
      <w:pPr>
        <w:pStyle w:val="NormalWeb"/>
        <w:spacing w:before="0" w:beforeAutospacing="0" w:after="0" w:afterAutospacing="0"/>
        <w:jc w:val="center"/>
        <w:rPr>
          <w:rStyle w:val="Strong"/>
          <w:rFonts w:ascii="Arial" w:hAnsi="Arial" w:cs="Arial"/>
          <w:sz w:val="22"/>
        </w:rPr>
      </w:pPr>
      <w:r>
        <w:rPr>
          <w:rStyle w:val="Strong"/>
          <w:rFonts w:ascii="Arial" w:hAnsi="Arial" w:cs="Arial"/>
          <w:sz w:val="22"/>
        </w:rPr>
        <w:t xml:space="preserve">Chapter </w:t>
      </w:r>
      <w:r w:rsidR="00E376B5">
        <w:rPr>
          <w:rStyle w:val="Strong"/>
          <w:rFonts w:ascii="Arial" w:hAnsi="Arial" w:cs="Arial"/>
          <w:sz w:val="22"/>
        </w:rPr>
        <w:t>4—</w:t>
      </w:r>
      <w:r w:rsidR="00E376B5" w:rsidRPr="00E376B5">
        <w:rPr>
          <w:rStyle w:val="Strong"/>
          <w:rFonts w:ascii="Arial" w:hAnsi="Arial" w:cs="Arial"/>
          <w:strike/>
          <w:sz w:val="22"/>
        </w:rPr>
        <w:t>Instructional Services</w:t>
      </w:r>
      <w:r w:rsidR="00E376B5">
        <w:rPr>
          <w:rStyle w:val="Strong"/>
          <w:rFonts w:ascii="Arial" w:hAnsi="Arial" w:cs="Arial"/>
          <w:sz w:val="22"/>
        </w:rPr>
        <w:t xml:space="preserve"> Academic Affairs</w:t>
      </w:r>
    </w:p>
    <w:p w14:paraId="1846CCA4" w14:textId="77777777" w:rsidR="00C83EEB" w:rsidRPr="007D4903" w:rsidRDefault="00C83EEB" w:rsidP="00C83EEB">
      <w:pPr>
        <w:pStyle w:val="NormalWeb"/>
        <w:spacing w:before="0" w:beforeAutospacing="0" w:after="0" w:afterAutospacing="0"/>
        <w:jc w:val="center"/>
        <w:rPr>
          <w:rFonts w:ascii="Arial" w:hAnsi="Arial" w:cs="Arial"/>
          <w:sz w:val="22"/>
        </w:rPr>
      </w:pPr>
    </w:p>
    <w:p w14:paraId="6F2572F0" w14:textId="7EBB4005" w:rsidR="00CF5F9D" w:rsidRDefault="006577CA" w:rsidP="00C83EEB">
      <w:pPr>
        <w:pStyle w:val="NormalWeb"/>
        <w:spacing w:before="0" w:beforeAutospacing="0" w:after="0" w:afterAutospacing="0"/>
        <w:jc w:val="center"/>
        <w:rPr>
          <w:rStyle w:val="Strong"/>
          <w:rFonts w:ascii="Arial" w:hAnsi="Arial" w:cs="Arial"/>
          <w:sz w:val="22"/>
        </w:rPr>
      </w:pPr>
      <w:r>
        <w:rPr>
          <w:rStyle w:val="Strong"/>
          <w:rFonts w:ascii="Arial" w:hAnsi="Arial" w:cs="Arial"/>
          <w:sz w:val="22"/>
        </w:rPr>
        <w:t xml:space="preserve">    </w:t>
      </w:r>
      <w:r w:rsidR="00E376B5">
        <w:rPr>
          <w:rStyle w:val="Strong"/>
          <w:rFonts w:ascii="Arial" w:hAnsi="Arial" w:cs="Arial"/>
          <w:sz w:val="22"/>
        </w:rPr>
        <w:t>AP 5021 AP 4021 INSTRUCTIONAL PROGRAM DISCONTINUANCE</w:t>
      </w:r>
    </w:p>
    <w:p w14:paraId="0AB74658" w14:textId="77777777" w:rsidR="00CF5F9D" w:rsidRPr="003E24C7" w:rsidRDefault="0095248B" w:rsidP="003E24C7">
      <w:pPr>
        <w:rPr>
          <w:sz w:val="16"/>
          <w:szCs w:val="16"/>
        </w:rPr>
      </w:pPr>
      <w:r>
        <w:rPr>
          <w:noProof/>
        </w:rPr>
        <w:pict w14:anchorId="005A5912">
          <v:rect id="_x0000_i1025" alt="" style="width:468pt;height:.05pt;mso-width-percent:0;mso-height-percent:0;mso-width-percent:0;mso-height-percent:0" o:hralign="center" o:hrstd="t" o:hrnoshade="t" o:hr="t" fillcolor="black" stroked="f"/>
        </w:pict>
      </w:r>
    </w:p>
    <w:p w14:paraId="187470E4" w14:textId="77777777" w:rsidR="00A069F5" w:rsidRDefault="00A069F5" w:rsidP="003E24C7">
      <w:pPr>
        <w:rPr>
          <w:rFonts w:ascii="Arial" w:hAnsi="Arial" w:cs="Arial"/>
          <w:sz w:val="22"/>
        </w:rPr>
      </w:pPr>
    </w:p>
    <w:p w14:paraId="12300AB4" w14:textId="77777777" w:rsidR="00E376B5" w:rsidRDefault="00E376B5" w:rsidP="00E376B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Chancellor’s Cabinet First Reading: </w:t>
      </w:r>
      <w:r>
        <w:rPr>
          <w:rStyle w:val="eop"/>
          <w:rFonts w:ascii="Arial" w:hAnsi="Arial" w:cs="Arial"/>
          <w:sz w:val="22"/>
          <w:szCs w:val="22"/>
        </w:rPr>
        <w:t> </w:t>
      </w:r>
    </w:p>
    <w:p w14:paraId="58175502" w14:textId="77777777" w:rsidR="00E376B5" w:rsidRDefault="00E376B5" w:rsidP="00E376B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Chancellor’s Cabinet Second Reading: </w:t>
      </w:r>
      <w:r>
        <w:rPr>
          <w:rStyle w:val="eop"/>
          <w:rFonts w:ascii="Arial" w:hAnsi="Arial" w:cs="Arial"/>
          <w:sz w:val="22"/>
          <w:szCs w:val="22"/>
        </w:rPr>
        <w:t> </w:t>
      </w:r>
    </w:p>
    <w:p w14:paraId="122521B8" w14:textId="77777777" w:rsidR="00E376B5" w:rsidRDefault="00E376B5" w:rsidP="00E376B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DGC First Reading: </w:t>
      </w:r>
      <w:r>
        <w:rPr>
          <w:rStyle w:val="eop"/>
          <w:rFonts w:ascii="Arial" w:hAnsi="Arial" w:cs="Arial"/>
          <w:sz w:val="22"/>
          <w:szCs w:val="22"/>
        </w:rPr>
        <w:t> </w:t>
      </w:r>
    </w:p>
    <w:p w14:paraId="358B4A37" w14:textId="77777777" w:rsidR="00E376B5" w:rsidRDefault="00E376B5" w:rsidP="00E376B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DGC Second Reading</w:t>
      </w:r>
      <w:r>
        <w:rPr>
          <w:rStyle w:val="normaltextrun"/>
          <w:color w:val="000000"/>
        </w:rPr>
        <w:t>: </w:t>
      </w:r>
      <w:r>
        <w:rPr>
          <w:rStyle w:val="eop"/>
          <w:color w:val="000000"/>
        </w:rPr>
        <w:t> </w:t>
      </w:r>
    </w:p>
    <w:p w14:paraId="2BBBC62A" w14:textId="77777777" w:rsidR="006A5420" w:rsidRDefault="006A5420" w:rsidP="003E24C7">
      <w:pPr>
        <w:rPr>
          <w:rFonts w:ascii="Arial" w:hAnsi="Arial" w:cs="Arial"/>
          <w:sz w:val="22"/>
        </w:rPr>
      </w:pPr>
    </w:p>
    <w:p w14:paraId="5D7BD3A7" w14:textId="77777777" w:rsidR="00E376B5" w:rsidRDefault="00E376B5" w:rsidP="00E376B5">
      <w:pPr>
        <w:pStyle w:val="paragraph"/>
        <w:spacing w:before="0" w:beforeAutospacing="0" w:after="0" w:afterAutospacing="0"/>
        <w:ind w:left="240" w:right="105"/>
        <w:jc w:val="both"/>
        <w:textAlignment w:val="baseline"/>
        <w:rPr>
          <w:rFonts w:ascii="Segoe UI" w:hAnsi="Segoe UI" w:cs="Segoe UI"/>
          <w:sz w:val="18"/>
          <w:szCs w:val="18"/>
        </w:rPr>
      </w:pPr>
      <w:r>
        <w:rPr>
          <w:rStyle w:val="normaltextrun"/>
          <w:rFonts w:ascii="Franklin Gothic Book" w:hAnsi="Franklin Gothic Book" w:cs="Segoe UI"/>
        </w:rPr>
        <w:t>A program may be discontinued by the Board of Trustees based upon evidence that the criteria for program approval is no longer met, as set forth in California Code of Regulations, title 5, section 55130 and Education Code section 78016. For the purposes of this procedure, a program shall be defined as a field of study with one or more related certificates and degrees.</w:t>
      </w:r>
      <w:r>
        <w:rPr>
          <w:rStyle w:val="eop"/>
          <w:rFonts w:ascii="Franklin Gothic Book" w:hAnsi="Franklin Gothic Book" w:cs="Segoe UI"/>
        </w:rPr>
        <w:t> </w:t>
      </w:r>
    </w:p>
    <w:p w14:paraId="72738688" w14:textId="77777777" w:rsidR="00E376B5" w:rsidRDefault="00E376B5" w:rsidP="00E376B5">
      <w:pPr>
        <w:pStyle w:val="paragraph"/>
        <w:spacing w:before="0" w:beforeAutospacing="0" w:after="0" w:afterAutospacing="0"/>
        <w:textAlignment w:val="baseline"/>
        <w:rPr>
          <w:rFonts w:ascii="Segoe UI" w:hAnsi="Segoe UI" w:cs="Segoe UI"/>
          <w:sz w:val="18"/>
          <w:szCs w:val="18"/>
        </w:rPr>
      </w:pPr>
      <w:r>
        <w:rPr>
          <w:rStyle w:val="eop"/>
          <w:rFonts w:ascii="Franklin Gothic Book" w:hAnsi="Franklin Gothic Book" w:cs="Segoe UI"/>
        </w:rPr>
        <w:t> </w:t>
      </w:r>
    </w:p>
    <w:p w14:paraId="54FCF994" w14:textId="3B52AEA3" w:rsidR="00E376B5" w:rsidRDefault="00E376B5" w:rsidP="00E376B5">
      <w:pPr>
        <w:pStyle w:val="paragraph"/>
        <w:spacing w:before="0" w:beforeAutospacing="0" w:after="0" w:afterAutospacing="0"/>
        <w:ind w:left="240" w:right="105"/>
        <w:jc w:val="both"/>
        <w:textAlignment w:val="baseline"/>
        <w:rPr>
          <w:rStyle w:val="eop"/>
          <w:rFonts w:ascii="Franklin Gothic Book" w:hAnsi="Franklin Gothic Book" w:cs="Segoe UI"/>
        </w:rPr>
      </w:pPr>
      <w:r>
        <w:rPr>
          <w:rStyle w:val="normaltextrun"/>
          <w:rFonts w:ascii="Franklin Gothic Book" w:hAnsi="Franklin Gothic Book" w:cs="Segoe UI"/>
        </w:rPr>
        <w:t xml:space="preserve">Program discontinuance procedures shall be established by </w:t>
      </w:r>
      <w:r w:rsidRPr="00E376B5">
        <w:rPr>
          <w:rStyle w:val="normaltextrun"/>
          <w:rFonts w:ascii="Franklin Gothic Book" w:hAnsi="Franklin Gothic Book" w:cs="Segoe UI"/>
          <w:strike/>
        </w:rPr>
        <w:t>the</w:t>
      </w:r>
      <w:r>
        <w:rPr>
          <w:rStyle w:val="normaltextrun"/>
          <w:rFonts w:ascii="Franklin Gothic Book" w:hAnsi="Franklin Gothic Book" w:cs="Segoe UI"/>
        </w:rPr>
        <w:t xml:space="preserve"> </w:t>
      </w:r>
      <w:r>
        <w:rPr>
          <w:rStyle w:val="normaltextrun"/>
          <w:rFonts w:ascii="Franklin Gothic Book" w:hAnsi="Franklin Gothic Book" w:cs="Segoe UI"/>
          <w:strike/>
        </w:rPr>
        <w:t>Colleges and Continuing Education</w:t>
      </w:r>
      <w:r>
        <w:rPr>
          <w:rStyle w:val="normaltextrun"/>
          <w:rFonts w:ascii="Franklin Gothic Book" w:hAnsi="Franklin Gothic Book" w:cs="Segoe UI"/>
        </w:rPr>
        <w:t> </w:t>
      </w:r>
      <w:r w:rsidRPr="00E376B5">
        <w:rPr>
          <w:rStyle w:val="normaltextrun"/>
          <w:rFonts w:ascii="Franklin Gothic Book" w:hAnsi="Franklin Gothic Book" w:cs="Segoe UI"/>
          <w:u w:val="single"/>
        </w:rPr>
        <w:t>San Diego City College, Mesa College, Miramar College, and College of Continuing Education</w:t>
      </w:r>
      <w:r>
        <w:rPr>
          <w:rStyle w:val="normaltextrun"/>
          <w:rFonts w:ascii="Franklin Gothic Book" w:hAnsi="Franklin Gothic Book" w:cs="Segoe UI"/>
        </w:rPr>
        <w:t xml:space="preserve"> based on the recognition that the responsibility for program discontinuance is shared cooperatively between the Academic Senate and administrators. The procedures shall include the following criteria:</w:t>
      </w:r>
      <w:r>
        <w:rPr>
          <w:rStyle w:val="eop"/>
          <w:rFonts w:ascii="Franklin Gothic Book" w:hAnsi="Franklin Gothic Book" w:cs="Segoe UI"/>
        </w:rPr>
        <w:t> </w:t>
      </w:r>
    </w:p>
    <w:p w14:paraId="4762F584" w14:textId="77777777" w:rsidR="00E376B5" w:rsidRDefault="00E376B5" w:rsidP="00E376B5">
      <w:pPr>
        <w:rPr>
          <w:rFonts w:ascii="Arial" w:hAnsi="Arial" w:cs="Arial"/>
          <w:sz w:val="22"/>
        </w:rPr>
      </w:pPr>
    </w:p>
    <w:p w14:paraId="329C6D1E" w14:textId="07C777A4" w:rsidR="00E376B5" w:rsidRPr="00E376B5" w:rsidRDefault="00E376B5" w:rsidP="00E376B5">
      <w:pPr>
        <w:numPr>
          <w:ilvl w:val="0"/>
          <w:numId w:val="1"/>
        </w:numPr>
        <w:rPr>
          <w:rStyle w:val="eop"/>
          <w:rFonts w:ascii="Arial" w:hAnsi="Arial" w:cs="Arial"/>
          <w:sz w:val="22"/>
        </w:rPr>
      </w:pPr>
      <w:r w:rsidRPr="00E376B5">
        <w:rPr>
          <w:rStyle w:val="normaltextrun"/>
          <w:rFonts w:ascii="Arial" w:hAnsi="Arial" w:cs="Arial"/>
          <w:sz w:val="22"/>
          <w:szCs w:val="22"/>
        </w:rPr>
        <w:t xml:space="preserve">Steps to monitor the impact on other areas including articulation, transfer agreements, as well as student notification, </w:t>
      </w:r>
      <w:proofErr w:type="gramStart"/>
      <w:r w:rsidRPr="00E376B5">
        <w:rPr>
          <w:rStyle w:val="normaltextrun"/>
          <w:rFonts w:ascii="Arial" w:hAnsi="Arial" w:cs="Arial"/>
          <w:sz w:val="22"/>
          <w:szCs w:val="22"/>
        </w:rPr>
        <w:t>transition</w:t>
      </w:r>
      <w:proofErr w:type="gramEnd"/>
      <w:r w:rsidRPr="00E376B5">
        <w:rPr>
          <w:rStyle w:val="normaltextrun"/>
          <w:rFonts w:ascii="Arial" w:hAnsi="Arial" w:cs="Arial"/>
          <w:sz w:val="22"/>
          <w:szCs w:val="22"/>
        </w:rPr>
        <w:t xml:space="preserve"> and assistance in program completion;</w:t>
      </w:r>
      <w:r w:rsidRPr="00E376B5">
        <w:rPr>
          <w:rStyle w:val="eop"/>
          <w:rFonts w:ascii="Arial" w:hAnsi="Arial" w:cs="Arial"/>
          <w:sz w:val="22"/>
          <w:szCs w:val="22"/>
        </w:rPr>
        <w:t> </w:t>
      </w:r>
      <w:r>
        <w:rPr>
          <w:rStyle w:val="eop"/>
          <w:rFonts w:ascii="Arial" w:hAnsi="Arial" w:cs="Arial"/>
          <w:sz w:val="22"/>
          <w:szCs w:val="22"/>
        </w:rPr>
        <w:br/>
      </w:r>
    </w:p>
    <w:p w14:paraId="68DD722F" w14:textId="1272530A" w:rsidR="00E376B5" w:rsidRPr="00E376B5" w:rsidRDefault="00E376B5" w:rsidP="00E376B5">
      <w:pPr>
        <w:numPr>
          <w:ilvl w:val="0"/>
          <w:numId w:val="1"/>
        </w:numPr>
        <w:rPr>
          <w:rStyle w:val="eop"/>
          <w:rFonts w:ascii="Arial" w:hAnsi="Arial" w:cs="Arial"/>
          <w:sz w:val="22"/>
        </w:rPr>
      </w:pPr>
      <w:r w:rsidRPr="00E376B5">
        <w:rPr>
          <w:rStyle w:val="normaltextrun"/>
          <w:rFonts w:ascii="Arial" w:hAnsi="Arial" w:cs="Arial"/>
          <w:sz w:val="22"/>
          <w:szCs w:val="22"/>
        </w:rPr>
        <w:t>A detailed plan and recommended timeline for phasing out the program with the least impact on students, faculty, staff, and the community;</w:t>
      </w:r>
      <w:r w:rsidRPr="00E376B5">
        <w:rPr>
          <w:rStyle w:val="eop"/>
          <w:rFonts w:ascii="Arial" w:hAnsi="Arial" w:cs="Arial"/>
          <w:sz w:val="22"/>
          <w:szCs w:val="22"/>
        </w:rPr>
        <w:t> </w:t>
      </w:r>
      <w:r>
        <w:rPr>
          <w:rStyle w:val="eop"/>
          <w:rFonts w:ascii="Arial" w:hAnsi="Arial" w:cs="Arial"/>
          <w:sz w:val="22"/>
          <w:szCs w:val="22"/>
        </w:rPr>
        <w:br/>
      </w:r>
    </w:p>
    <w:p w14:paraId="77A467A5" w14:textId="792921D8" w:rsidR="00E376B5" w:rsidRPr="00E376B5" w:rsidRDefault="00E376B5" w:rsidP="00E376B5">
      <w:pPr>
        <w:numPr>
          <w:ilvl w:val="0"/>
          <w:numId w:val="1"/>
        </w:numPr>
        <w:rPr>
          <w:rStyle w:val="eop"/>
          <w:rFonts w:ascii="Arial" w:hAnsi="Arial" w:cs="Arial"/>
          <w:sz w:val="22"/>
        </w:rPr>
      </w:pPr>
      <w:r w:rsidRPr="00E376B5">
        <w:rPr>
          <w:rStyle w:val="normaltextrun"/>
          <w:rFonts w:ascii="Arial" w:hAnsi="Arial" w:cs="Arial"/>
          <w:sz w:val="22"/>
          <w:szCs w:val="22"/>
        </w:rPr>
        <w:t>A plan for currently enrolled students to continue their academic award, such as a teach- out plan, or a plan for them to meet their educational objectives through alternative means; and</w:t>
      </w:r>
      <w:r w:rsidRPr="00E376B5">
        <w:rPr>
          <w:rStyle w:val="eop"/>
          <w:rFonts w:ascii="Arial" w:hAnsi="Arial" w:cs="Arial"/>
          <w:sz w:val="22"/>
          <w:szCs w:val="22"/>
        </w:rPr>
        <w:t> </w:t>
      </w:r>
      <w:r>
        <w:rPr>
          <w:rStyle w:val="eop"/>
          <w:rFonts w:ascii="Arial" w:hAnsi="Arial" w:cs="Arial"/>
          <w:sz w:val="22"/>
          <w:szCs w:val="22"/>
        </w:rPr>
        <w:br/>
      </w:r>
    </w:p>
    <w:p w14:paraId="1C4ACADA" w14:textId="3A0453E1" w:rsidR="00E376B5" w:rsidRPr="00E376B5" w:rsidRDefault="00E376B5" w:rsidP="00E376B5">
      <w:pPr>
        <w:numPr>
          <w:ilvl w:val="0"/>
          <w:numId w:val="1"/>
        </w:numPr>
        <w:rPr>
          <w:rFonts w:ascii="Arial" w:hAnsi="Arial" w:cs="Arial"/>
          <w:sz w:val="22"/>
        </w:rPr>
      </w:pPr>
      <w:r w:rsidRPr="00E376B5">
        <w:rPr>
          <w:rStyle w:val="normaltextrun"/>
          <w:rFonts w:ascii="Arial" w:hAnsi="Arial" w:cs="Arial"/>
          <w:sz w:val="22"/>
          <w:szCs w:val="22"/>
        </w:rPr>
        <w:t>A plan that ensures an open and transparent participatory governance process in generating any recommendation to the Board of Trustees regarding program discontinuance.</w:t>
      </w:r>
      <w:r w:rsidRPr="00E376B5">
        <w:rPr>
          <w:rStyle w:val="eop"/>
          <w:rFonts w:ascii="Arial" w:hAnsi="Arial" w:cs="Arial"/>
          <w:sz w:val="22"/>
          <w:szCs w:val="22"/>
        </w:rPr>
        <w:t> </w:t>
      </w:r>
      <w:r>
        <w:rPr>
          <w:rStyle w:val="eop"/>
          <w:rFonts w:ascii="Arial" w:hAnsi="Arial" w:cs="Arial"/>
          <w:sz w:val="22"/>
          <w:szCs w:val="22"/>
        </w:rPr>
        <w:br/>
      </w:r>
    </w:p>
    <w:p w14:paraId="7C54D92B" w14:textId="77777777" w:rsidR="00E376B5" w:rsidRPr="00E376B5" w:rsidRDefault="00E376B5" w:rsidP="00E376B5">
      <w:pPr>
        <w:pStyle w:val="paragraph"/>
        <w:spacing w:before="0" w:beforeAutospacing="0" w:after="0" w:afterAutospacing="0"/>
        <w:ind w:left="240" w:right="105"/>
        <w:jc w:val="both"/>
        <w:textAlignment w:val="baseline"/>
        <w:rPr>
          <w:rFonts w:ascii="Arial" w:hAnsi="Arial" w:cs="Arial"/>
          <w:sz w:val="18"/>
          <w:szCs w:val="18"/>
        </w:rPr>
      </w:pPr>
      <w:r w:rsidRPr="00E376B5">
        <w:rPr>
          <w:rStyle w:val="normaltextrun"/>
          <w:rFonts w:ascii="Arial" w:hAnsi="Arial" w:cs="Arial"/>
        </w:rPr>
        <w:t xml:space="preserve">The Board of Trustees shall consider any recommendation for program discontinuance from the Chancellor at a meeting of the Board in accordance with its regular processes and procedures. The Board shall </w:t>
      </w:r>
      <w:proofErr w:type="gramStart"/>
      <w:r w:rsidRPr="00E376B5">
        <w:rPr>
          <w:rStyle w:val="normaltextrun"/>
          <w:rFonts w:ascii="Arial" w:hAnsi="Arial" w:cs="Arial"/>
        </w:rPr>
        <w:t>take into account</w:t>
      </w:r>
      <w:proofErr w:type="gramEnd"/>
      <w:r w:rsidRPr="00E376B5">
        <w:rPr>
          <w:rStyle w:val="normaltextrun"/>
          <w:rFonts w:ascii="Arial" w:hAnsi="Arial" w:cs="Arial"/>
        </w:rPr>
        <w:t xml:space="preserve"> all information generated in accordance with these procedures, and any other information determined to be appropriate by the Board, in their consideration of the recommendation.</w:t>
      </w:r>
      <w:r w:rsidRPr="00E376B5">
        <w:rPr>
          <w:rStyle w:val="eop"/>
          <w:rFonts w:ascii="Arial" w:hAnsi="Arial" w:cs="Arial"/>
        </w:rPr>
        <w:t> </w:t>
      </w:r>
    </w:p>
    <w:p w14:paraId="5E1C4DDD" w14:textId="77777777" w:rsidR="00E376B5" w:rsidRPr="00E376B5" w:rsidRDefault="00E376B5" w:rsidP="00E376B5">
      <w:pPr>
        <w:pStyle w:val="paragraph"/>
        <w:spacing w:before="0" w:beforeAutospacing="0" w:after="0" w:afterAutospacing="0"/>
        <w:textAlignment w:val="baseline"/>
        <w:rPr>
          <w:rFonts w:ascii="Arial" w:hAnsi="Arial" w:cs="Arial"/>
          <w:sz w:val="18"/>
          <w:szCs w:val="18"/>
        </w:rPr>
      </w:pPr>
      <w:r w:rsidRPr="00E376B5">
        <w:rPr>
          <w:rStyle w:val="eop"/>
          <w:rFonts w:ascii="Arial" w:hAnsi="Arial" w:cs="Arial"/>
          <w:sz w:val="21"/>
          <w:szCs w:val="21"/>
        </w:rPr>
        <w:t> </w:t>
      </w:r>
    </w:p>
    <w:p w14:paraId="7EE4123D" w14:textId="77777777" w:rsidR="00E376B5" w:rsidRPr="00E376B5" w:rsidRDefault="00E376B5" w:rsidP="00E376B5">
      <w:pPr>
        <w:pStyle w:val="paragraph"/>
        <w:spacing w:before="0" w:beforeAutospacing="0" w:after="0" w:afterAutospacing="0"/>
        <w:ind w:left="240" w:right="105"/>
        <w:jc w:val="both"/>
        <w:textAlignment w:val="baseline"/>
        <w:rPr>
          <w:rFonts w:ascii="Arial" w:hAnsi="Arial" w:cs="Arial"/>
          <w:sz w:val="18"/>
          <w:szCs w:val="18"/>
        </w:rPr>
      </w:pPr>
      <w:r w:rsidRPr="00E376B5">
        <w:rPr>
          <w:rStyle w:val="normaltextrun"/>
          <w:rFonts w:ascii="Arial" w:hAnsi="Arial" w:cs="Arial"/>
        </w:rPr>
        <w:t xml:space="preserve">In all cases of program discontinuance, care must be taken to monitor the impact on other areas including articulation, transfer agreements, as well as student notification, and transition and assistance in program completion. Opportunities for retraining and </w:t>
      </w:r>
      <w:r w:rsidRPr="00E376B5">
        <w:rPr>
          <w:rStyle w:val="normaltextrun"/>
          <w:rFonts w:ascii="Arial" w:hAnsi="Arial" w:cs="Arial"/>
        </w:rPr>
        <w:lastRenderedPageBreak/>
        <w:t xml:space="preserve">reassignment of persons affected by program discontinuance will be managed in keeping with the practices of the </w:t>
      </w:r>
      <w:proofErr w:type="gramStart"/>
      <w:r w:rsidRPr="00E376B5">
        <w:rPr>
          <w:rStyle w:val="normaltextrun"/>
          <w:rFonts w:ascii="Arial" w:hAnsi="Arial" w:cs="Arial"/>
        </w:rPr>
        <w:t>District</w:t>
      </w:r>
      <w:proofErr w:type="gramEnd"/>
      <w:r w:rsidRPr="00E376B5">
        <w:rPr>
          <w:rStyle w:val="normaltextrun"/>
          <w:rFonts w:ascii="Arial" w:hAnsi="Arial" w:cs="Arial"/>
        </w:rPr>
        <w:t>.</w:t>
      </w:r>
      <w:r w:rsidRPr="00E376B5">
        <w:rPr>
          <w:rStyle w:val="eop"/>
          <w:rFonts w:ascii="Arial" w:hAnsi="Arial" w:cs="Arial"/>
        </w:rPr>
        <w:t> </w:t>
      </w:r>
    </w:p>
    <w:p w14:paraId="0E9CB123" w14:textId="77777777" w:rsidR="00E376B5" w:rsidRPr="00E376B5" w:rsidRDefault="00E376B5" w:rsidP="00E376B5">
      <w:pPr>
        <w:pStyle w:val="paragraph"/>
        <w:spacing w:before="0" w:beforeAutospacing="0" w:after="0" w:afterAutospacing="0"/>
        <w:textAlignment w:val="baseline"/>
        <w:rPr>
          <w:rFonts w:ascii="Arial" w:hAnsi="Arial" w:cs="Arial"/>
          <w:sz w:val="18"/>
          <w:szCs w:val="18"/>
        </w:rPr>
      </w:pPr>
      <w:r w:rsidRPr="00E376B5">
        <w:rPr>
          <w:rStyle w:val="eop"/>
          <w:rFonts w:ascii="Arial" w:hAnsi="Arial" w:cs="Arial"/>
        </w:rPr>
        <w:t> </w:t>
      </w:r>
    </w:p>
    <w:p w14:paraId="2C4452AC" w14:textId="77777777" w:rsidR="00E376B5" w:rsidRPr="00E376B5" w:rsidRDefault="00E376B5" w:rsidP="00E376B5">
      <w:pPr>
        <w:pStyle w:val="paragraph"/>
        <w:spacing w:before="0" w:beforeAutospacing="0" w:after="0" w:afterAutospacing="0"/>
        <w:ind w:left="240"/>
        <w:jc w:val="both"/>
        <w:textAlignment w:val="baseline"/>
        <w:rPr>
          <w:rFonts w:ascii="Arial" w:hAnsi="Arial" w:cs="Arial"/>
          <w:sz w:val="18"/>
          <w:szCs w:val="18"/>
        </w:rPr>
      </w:pPr>
      <w:r w:rsidRPr="00E376B5">
        <w:rPr>
          <w:rStyle w:val="normaltextrun"/>
          <w:rFonts w:ascii="Arial" w:hAnsi="Arial" w:cs="Arial"/>
        </w:rPr>
        <w:t>The Board of Trustees shall make the final decision regarding the discontinuance of programs.</w:t>
      </w:r>
      <w:r w:rsidRPr="00E376B5">
        <w:rPr>
          <w:rStyle w:val="eop"/>
          <w:rFonts w:ascii="Arial" w:hAnsi="Arial" w:cs="Arial"/>
        </w:rPr>
        <w:t> </w:t>
      </w:r>
    </w:p>
    <w:p w14:paraId="0F840C62" w14:textId="77777777" w:rsidR="00693B11" w:rsidRPr="00E376B5" w:rsidRDefault="00693B11" w:rsidP="003E24C7">
      <w:pPr>
        <w:rPr>
          <w:rFonts w:ascii="Arial" w:hAnsi="Arial" w:cs="Arial"/>
          <w:sz w:val="22"/>
        </w:rPr>
      </w:pPr>
    </w:p>
    <w:p w14:paraId="22466630" w14:textId="77777777" w:rsidR="00693B11" w:rsidRDefault="00693B11" w:rsidP="003E24C7">
      <w:pPr>
        <w:rPr>
          <w:rFonts w:ascii="Arial" w:hAnsi="Arial" w:cs="Arial"/>
          <w:sz w:val="22"/>
        </w:rPr>
      </w:pPr>
    </w:p>
    <w:p w14:paraId="07D5A43B" w14:textId="77777777" w:rsidR="00693B11" w:rsidRDefault="00693B11" w:rsidP="003E24C7">
      <w:pPr>
        <w:rPr>
          <w:rFonts w:ascii="Arial" w:hAnsi="Arial" w:cs="Arial"/>
          <w:sz w:val="22"/>
        </w:rPr>
      </w:pPr>
    </w:p>
    <w:p w14:paraId="21B3AC83" w14:textId="40515F47" w:rsidR="002664E8" w:rsidRPr="002664E8" w:rsidRDefault="00693B11" w:rsidP="002664E8">
      <w:pPr>
        <w:tabs>
          <w:tab w:val="left" w:pos="1620"/>
        </w:tabs>
        <w:ind w:left="1440" w:hanging="1440"/>
        <w:rPr>
          <w:rFonts w:ascii="Arial" w:hAnsi="Arial" w:cs="Arial"/>
          <w:iCs/>
          <w:sz w:val="22"/>
          <w:szCs w:val="22"/>
        </w:rPr>
      </w:pPr>
      <w:r w:rsidRPr="00693B11">
        <w:rPr>
          <w:rFonts w:ascii="Arial" w:hAnsi="Arial" w:cs="Arial"/>
          <w:iCs/>
          <w:sz w:val="22"/>
          <w:szCs w:val="22"/>
        </w:rPr>
        <w:t>Reference</w:t>
      </w:r>
      <w:r w:rsidR="002664E8">
        <w:rPr>
          <w:rFonts w:ascii="Arial" w:hAnsi="Arial" w:cs="Arial"/>
          <w:iCs/>
          <w:sz w:val="22"/>
          <w:szCs w:val="22"/>
        </w:rPr>
        <w:t>(s)</w:t>
      </w:r>
      <w:r w:rsidRPr="00693B11">
        <w:rPr>
          <w:rFonts w:ascii="Arial" w:hAnsi="Arial" w:cs="Arial"/>
          <w:iCs/>
          <w:sz w:val="22"/>
          <w:szCs w:val="22"/>
        </w:rPr>
        <w:t>:</w:t>
      </w:r>
      <w:r w:rsidR="00FE3C8E">
        <w:rPr>
          <w:rFonts w:ascii="Arial" w:hAnsi="Arial" w:cs="Arial"/>
          <w:iCs/>
          <w:sz w:val="22"/>
          <w:szCs w:val="22"/>
        </w:rPr>
        <w:tab/>
      </w:r>
      <w:r w:rsidR="002664E8">
        <w:rPr>
          <w:rStyle w:val="normaltextrun"/>
          <w:rFonts w:ascii="Franklin Gothic Book" w:hAnsi="Franklin Gothic Book" w:cs="Segoe UI"/>
        </w:rPr>
        <w:t xml:space="preserve">Education Code Section </w:t>
      </w:r>
      <w:proofErr w:type="gramStart"/>
      <w:r w:rsidR="002664E8">
        <w:rPr>
          <w:rStyle w:val="normaltextrun"/>
          <w:rFonts w:ascii="Franklin Gothic Book" w:hAnsi="Franklin Gothic Book" w:cs="Segoe UI"/>
        </w:rPr>
        <w:t>78016;</w:t>
      </w:r>
      <w:r w:rsidR="002664E8">
        <w:rPr>
          <w:rStyle w:val="eop"/>
          <w:rFonts w:ascii="Franklin Gothic Book" w:hAnsi="Franklin Gothic Book" w:cs="Segoe UI"/>
        </w:rPr>
        <w:t> </w:t>
      </w:r>
      <w:r w:rsidR="002664E8">
        <w:rPr>
          <w:rStyle w:val="eop"/>
          <w:rFonts w:ascii="Franklin Gothic Book" w:hAnsi="Franklin Gothic Book" w:cs="Segoe UI"/>
        </w:rPr>
        <w:t xml:space="preserve"> </w:t>
      </w:r>
      <w:r w:rsidR="002664E8">
        <w:rPr>
          <w:rStyle w:val="normaltextrun"/>
          <w:rFonts w:ascii="Franklin Gothic Book" w:hAnsi="Franklin Gothic Book" w:cs="Segoe UI"/>
        </w:rPr>
        <w:t>California</w:t>
      </w:r>
      <w:proofErr w:type="gramEnd"/>
      <w:r w:rsidR="002664E8">
        <w:rPr>
          <w:rStyle w:val="normaltextrun"/>
          <w:rFonts w:ascii="Franklin Gothic Book" w:hAnsi="Franklin Gothic Book" w:cs="Segoe UI"/>
        </w:rPr>
        <w:t xml:space="preserve"> Code of Regulations, title 5, sections 51022 and 55130; WASC/ACCJC Accreditation Standard II.A.15</w:t>
      </w:r>
      <w:r w:rsidR="002664E8">
        <w:rPr>
          <w:rStyle w:val="eop"/>
          <w:rFonts w:ascii="Franklin Gothic Book" w:hAnsi="Franklin Gothic Book" w:cs="Segoe UI"/>
        </w:rPr>
        <w:t> </w:t>
      </w:r>
    </w:p>
    <w:p w14:paraId="74EC49F6" w14:textId="77777777" w:rsidR="00EB239D" w:rsidRDefault="00EB239D" w:rsidP="00502DF5">
      <w:pPr>
        <w:tabs>
          <w:tab w:val="left" w:pos="1620"/>
        </w:tabs>
        <w:rPr>
          <w:rFonts w:ascii="Arial" w:hAnsi="Arial" w:cs="Arial"/>
          <w:iCs/>
          <w:sz w:val="22"/>
          <w:szCs w:val="22"/>
        </w:rPr>
      </w:pPr>
    </w:p>
    <w:p w14:paraId="793A5684" w14:textId="77777777" w:rsidR="003628A0" w:rsidRDefault="003628A0" w:rsidP="00502DF5">
      <w:pPr>
        <w:tabs>
          <w:tab w:val="left" w:pos="1620"/>
        </w:tabs>
        <w:rPr>
          <w:rFonts w:ascii="Arial" w:hAnsi="Arial" w:cs="Arial"/>
          <w:iCs/>
          <w:sz w:val="22"/>
          <w:szCs w:val="22"/>
        </w:rPr>
      </w:pPr>
    </w:p>
    <w:p w14:paraId="3DDD1F84" w14:textId="77777777" w:rsidR="003628A0" w:rsidRDefault="003628A0" w:rsidP="00502DF5">
      <w:pPr>
        <w:tabs>
          <w:tab w:val="left" w:pos="1620"/>
        </w:tabs>
        <w:rPr>
          <w:rFonts w:ascii="Arial" w:hAnsi="Arial" w:cs="Arial"/>
          <w:iCs/>
          <w:sz w:val="22"/>
          <w:szCs w:val="22"/>
        </w:rPr>
      </w:pPr>
    </w:p>
    <w:p w14:paraId="27DE5888" w14:textId="77777777" w:rsidR="00C4230F" w:rsidRDefault="00502DF5" w:rsidP="00502DF5">
      <w:pPr>
        <w:tabs>
          <w:tab w:val="left" w:pos="1620"/>
        </w:tabs>
        <w:rPr>
          <w:rFonts w:ascii="Arial" w:hAnsi="Arial" w:cs="Arial"/>
          <w:iCs/>
          <w:sz w:val="22"/>
          <w:szCs w:val="22"/>
        </w:rPr>
      </w:pPr>
      <w:r w:rsidRPr="00502DF5">
        <w:rPr>
          <w:rFonts w:ascii="Arial" w:hAnsi="Arial" w:cs="Arial"/>
          <w:iCs/>
          <w:sz w:val="22"/>
          <w:szCs w:val="22"/>
          <w:highlight w:val="yellow"/>
        </w:rPr>
        <w:t>&lt;Pending signature&gt;</w:t>
      </w:r>
    </w:p>
    <w:p w14:paraId="17F71E1E" w14:textId="77777777" w:rsidR="00693B11" w:rsidRPr="00FE3C8E" w:rsidRDefault="00693B11" w:rsidP="00502DF5">
      <w:pPr>
        <w:tabs>
          <w:tab w:val="left" w:pos="1620"/>
          <w:tab w:val="left" w:pos="5040"/>
          <w:tab w:val="left" w:pos="5760"/>
          <w:tab w:val="left" w:pos="9360"/>
        </w:tabs>
        <w:rPr>
          <w:rFonts w:ascii="Arial" w:hAnsi="Arial" w:cs="Arial"/>
          <w:iCs/>
          <w:sz w:val="22"/>
          <w:szCs w:val="22"/>
          <w:u w:val="single"/>
        </w:rPr>
      </w:pPr>
      <w:r w:rsidRPr="00693B11">
        <w:rPr>
          <w:rFonts w:ascii="Arial" w:hAnsi="Arial" w:cs="Arial"/>
          <w:iCs/>
          <w:sz w:val="22"/>
          <w:szCs w:val="22"/>
        </w:rPr>
        <w:t>APPROVED</w:t>
      </w:r>
      <w:r w:rsidR="00FE3C8E">
        <w:rPr>
          <w:rFonts w:ascii="Arial" w:hAnsi="Arial" w:cs="Arial"/>
          <w:iCs/>
          <w:sz w:val="22"/>
          <w:szCs w:val="22"/>
        </w:rPr>
        <w:t xml:space="preserve">: </w:t>
      </w:r>
      <w:r w:rsidR="00FE3C8E">
        <w:rPr>
          <w:rFonts w:ascii="Arial" w:hAnsi="Arial" w:cs="Arial"/>
          <w:iCs/>
          <w:sz w:val="22"/>
          <w:szCs w:val="22"/>
        </w:rPr>
        <w:tab/>
      </w:r>
      <w:r w:rsidR="00FE3C8E">
        <w:rPr>
          <w:rFonts w:ascii="Arial" w:hAnsi="Arial" w:cs="Arial"/>
          <w:iCs/>
          <w:sz w:val="22"/>
          <w:szCs w:val="22"/>
          <w:u w:val="single"/>
        </w:rPr>
        <w:tab/>
      </w:r>
      <w:r w:rsidR="00FE3C8E">
        <w:rPr>
          <w:rFonts w:ascii="Arial" w:hAnsi="Arial" w:cs="Arial"/>
          <w:iCs/>
          <w:sz w:val="22"/>
          <w:szCs w:val="22"/>
        </w:rPr>
        <w:tab/>
        <w:t xml:space="preserve">DATE: </w:t>
      </w:r>
      <w:r w:rsidR="00FE3C8E">
        <w:rPr>
          <w:rFonts w:ascii="Arial" w:hAnsi="Arial" w:cs="Arial"/>
          <w:iCs/>
          <w:sz w:val="22"/>
          <w:szCs w:val="22"/>
          <w:u w:val="single"/>
        </w:rPr>
        <w:tab/>
      </w:r>
    </w:p>
    <w:p w14:paraId="7E4B2E06" w14:textId="77777777" w:rsidR="00693B11" w:rsidRPr="00693B11" w:rsidRDefault="00FE3C8E" w:rsidP="00502DF5">
      <w:pPr>
        <w:tabs>
          <w:tab w:val="left" w:pos="1620"/>
        </w:tabs>
        <w:rPr>
          <w:rFonts w:ascii="Arial" w:hAnsi="Arial" w:cs="Arial"/>
          <w:iCs/>
          <w:sz w:val="22"/>
          <w:szCs w:val="22"/>
        </w:rPr>
      </w:pPr>
      <w:r>
        <w:rPr>
          <w:rFonts w:ascii="Arial" w:hAnsi="Arial" w:cs="Arial"/>
          <w:iCs/>
          <w:sz w:val="22"/>
          <w:szCs w:val="22"/>
        </w:rPr>
        <w:tab/>
        <w:t>Carlos O. Cortez, Ph.D.</w:t>
      </w:r>
    </w:p>
    <w:p w14:paraId="2531A72C" w14:textId="77777777" w:rsidR="00693B11" w:rsidRDefault="00693B11" w:rsidP="00502DF5">
      <w:pPr>
        <w:tabs>
          <w:tab w:val="left" w:pos="1620"/>
        </w:tabs>
        <w:rPr>
          <w:rFonts w:ascii="Arial" w:hAnsi="Arial" w:cs="Arial"/>
          <w:iCs/>
          <w:sz w:val="22"/>
          <w:szCs w:val="22"/>
        </w:rPr>
      </w:pPr>
    </w:p>
    <w:p w14:paraId="43409C57" w14:textId="77777777" w:rsidR="003628A0" w:rsidRDefault="003628A0" w:rsidP="00502DF5">
      <w:pPr>
        <w:tabs>
          <w:tab w:val="left" w:pos="1620"/>
        </w:tabs>
        <w:rPr>
          <w:rFonts w:ascii="Arial" w:hAnsi="Arial" w:cs="Arial"/>
          <w:iCs/>
          <w:sz w:val="22"/>
          <w:szCs w:val="22"/>
        </w:rPr>
      </w:pPr>
    </w:p>
    <w:p w14:paraId="2D1E5C9E" w14:textId="77777777" w:rsidR="003628A0" w:rsidRDefault="003628A0" w:rsidP="00502DF5">
      <w:pPr>
        <w:tabs>
          <w:tab w:val="left" w:pos="1620"/>
        </w:tabs>
        <w:rPr>
          <w:rFonts w:ascii="Arial" w:hAnsi="Arial" w:cs="Arial"/>
          <w:iCs/>
          <w:sz w:val="22"/>
          <w:szCs w:val="22"/>
        </w:rPr>
      </w:pPr>
    </w:p>
    <w:p w14:paraId="7CE71AB9" w14:textId="77777777" w:rsidR="00C4230F" w:rsidRDefault="00502DF5" w:rsidP="00502DF5">
      <w:pPr>
        <w:tabs>
          <w:tab w:val="left" w:pos="1620"/>
        </w:tabs>
        <w:rPr>
          <w:rFonts w:ascii="Arial" w:hAnsi="Arial" w:cs="Arial"/>
          <w:iCs/>
          <w:sz w:val="22"/>
          <w:szCs w:val="22"/>
        </w:rPr>
      </w:pPr>
      <w:r w:rsidRPr="00502DF5">
        <w:rPr>
          <w:rFonts w:ascii="Arial" w:hAnsi="Arial" w:cs="Arial"/>
          <w:iCs/>
          <w:sz w:val="22"/>
          <w:szCs w:val="22"/>
          <w:highlight w:val="yellow"/>
        </w:rPr>
        <w:t>&lt;Once signed&gt;</w:t>
      </w:r>
    </w:p>
    <w:p w14:paraId="48F91FF2" w14:textId="77777777" w:rsidR="00502DF5" w:rsidRDefault="00502DF5" w:rsidP="00502DF5">
      <w:pPr>
        <w:tabs>
          <w:tab w:val="left" w:pos="1620"/>
        </w:tabs>
        <w:rPr>
          <w:rFonts w:ascii="Arial" w:hAnsi="Arial" w:cs="Arial"/>
          <w:iCs/>
          <w:sz w:val="22"/>
          <w:szCs w:val="22"/>
        </w:rPr>
      </w:pPr>
      <w:r>
        <w:rPr>
          <w:rFonts w:ascii="Arial" w:hAnsi="Arial" w:cs="Arial"/>
          <w:iCs/>
          <w:sz w:val="22"/>
          <w:szCs w:val="22"/>
        </w:rPr>
        <w:t>Approved by</w:t>
      </w:r>
    </w:p>
    <w:p w14:paraId="184B60C1" w14:textId="77777777" w:rsidR="00502DF5" w:rsidRDefault="00502DF5" w:rsidP="00502DF5">
      <w:pPr>
        <w:tabs>
          <w:tab w:val="left" w:pos="1620"/>
        </w:tabs>
        <w:rPr>
          <w:rFonts w:ascii="Arial" w:hAnsi="Arial" w:cs="Arial"/>
          <w:iCs/>
          <w:sz w:val="22"/>
          <w:szCs w:val="22"/>
        </w:rPr>
      </w:pPr>
      <w:r>
        <w:rPr>
          <w:rFonts w:ascii="Arial" w:hAnsi="Arial" w:cs="Arial"/>
          <w:iCs/>
          <w:sz w:val="22"/>
          <w:szCs w:val="22"/>
        </w:rPr>
        <w:t>the Chancellor:</w:t>
      </w:r>
      <w:r>
        <w:rPr>
          <w:rFonts w:ascii="Arial" w:hAnsi="Arial" w:cs="Arial"/>
          <w:iCs/>
          <w:sz w:val="22"/>
          <w:szCs w:val="22"/>
        </w:rPr>
        <w:tab/>
        <w:t>Month Day, Year</w:t>
      </w:r>
    </w:p>
    <w:p w14:paraId="1ECB9DCA" w14:textId="77777777" w:rsidR="00C97D51" w:rsidRDefault="00C97D51" w:rsidP="00502DF5">
      <w:pPr>
        <w:tabs>
          <w:tab w:val="left" w:pos="1620"/>
        </w:tabs>
        <w:rPr>
          <w:rFonts w:ascii="Arial" w:hAnsi="Arial" w:cs="Arial"/>
          <w:sz w:val="22"/>
          <w:szCs w:val="22"/>
        </w:rPr>
      </w:pPr>
    </w:p>
    <w:p w14:paraId="0471016A" w14:textId="77777777" w:rsidR="00502DF5" w:rsidRDefault="00502DF5" w:rsidP="00502DF5">
      <w:pPr>
        <w:tabs>
          <w:tab w:val="left" w:pos="1620"/>
        </w:tabs>
        <w:rPr>
          <w:rFonts w:ascii="Arial" w:hAnsi="Arial" w:cs="Arial"/>
          <w:sz w:val="22"/>
          <w:szCs w:val="22"/>
        </w:rPr>
      </w:pPr>
    </w:p>
    <w:p w14:paraId="7E4FE75E" w14:textId="77777777" w:rsidR="00502DF5" w:rsidRDefault="00502DF5" w:rsidP="00502DF5">
      <w:pPr>
        <w:tabs>
          <w:tab w:val="left" w:pos="1620"/>
        </w:tabs>
        <w:rPr>
          <w:rFonts w:ascii="Arial" w:hAnsi="Arial" w:cs="Arial"/>
          <w:sz w:val="22"/>
          <w:szCs w:val="22"/>
        </w:rPr>
      </w:pPr>
    </w:p>
    <w:p w14:paraId="5A6BF343" w14:textId="4A38D5EE" w:rsidR="00A069F5" w:rsidRDefault="00C97D51" w:rsidP="00A069F5">
      <w:pPr>
        <w:tabs>
          <w:tab w:val="left" w:pos="1620"/>
        </w:tabs>
        <w:ind w:left="1620" w:hanging="1620"/>
        <w:rPr>
          <w:rFonts w:ascii="Arial" w:hAnsi="Arial" w:cs="Arial"/>
          <w:sz w:val="22"/>
          <w:szCs w:val="20"/>
        </w:rPr>
      </w:pPr>
      <w:r>
        <w:rPr>
          <w:rFonts w:ascii="Arial" w:hAnsi="Arial" w:cs="Arial"/>
          <w:sz w:val="22"/>
          <w:szCs w:val="20"/>
        </w:rPr>
        <w:t>Supersedes</w:t>
      </w:r>
      <w:r w:rsidRPr="00807891">
        <w:rPr>
          <w:rFonts w:ascii="Arial" w:hAnsi="Arial" w:cs="Arial"/>
          <w:sz w:val="22"/>
          <w:szCs w:val="20"/>
        </w:rPr>
        <w:t>:</w:t>
      </w:r>
      <w:r w:rsidR="006577CA">
        <w:rPr>
          <w:rFonts w:ascii="Arial" w:hAnsi="Arial" w:cs="Arial"/>
          <w:sz w:val="22"/>
          <w:szCs w:val="20"/>
        </w:rPr>
        <w:tab/>
      </w:r>
      <w:r w:rsidR="002664E8">
        <w:rPr>
          <w:rFonts w:ascii="Arial" w:hAnsi="Arial" w:cs="Arial"/>
          <w:sz w:val="22"/>
          <w:szCs w:val="20"/>
        </w:rPr>
        <w:t>AP 5021 2/10/2017</w:t>
      </w:r>
      <w:r w:rsidR="00A069F5">
        <w:rPr>
          <w:rFonts w:ascii="Arial" w:hAnsi="Arial" w:cs="Arial"/>
          <w:sz w:val="22"/>
          <w:szCs w:val="20"/>
        </w:rPr>
        <w:tab/>
      </w:r>
    </w:p>
    <w:p w14:paraId="7A6043C1" w14:textId="77777777" w:rsidR="00FC4357" w:rsidRDefault="00A069F5" w:rsidP="00A069F5">
      <w:pPr>
        <w:tabs>
          <w:tab w:val="left" w:pos="1620"/>
        </w:tabs>
        <w:ind w:left="1620" w:hanging="1620"/>
        <w:rPr>
          <w:rFonts w:ascii="Arial" w:hAnsi="Arial" w:cs="Arial"/>
          <w:sz w:val="22"/>
          <w:szCs w:val="20"/>
        </w:rPr>
      </w:pPr>
      <w:r>
        <w:rPr>
          <w:rFonts w:ascii="Arial" w:hAnsi="Arial" w:cs="Arial"/>
          <w:sz w:val="22"/>
          <w:szCs w:val="20"/>
        </w:rPr>
        <w:tab/>
      </w:r>
    </w:p>
    <w:p w14:paraId="5A142AF6" w14:textId="1F331803" w:rsidR="002664E8" w:rsidRPr="00A069F5" w:rsidRDefault="00FC4357" w:rsidP="002664E8">
      <w:pPr>
        <w:tabs>
          <w:tab w:val="left" w:pos="1620"/>
        </w:tabs>
        <w:ind w:left="1620" w:hanging="1620"/>
        <w:rPr>
          <w:rFonts w:ascii="Arial" w:hAnsi="Arial" w:cs="Arial"/>
          <w:sz w:val="18"/>
        </w:rPr>
      </w:pPr>
      <w:r>
        <w:rPr>
          <w:rFonts w:ascii="Arial" w:hAnsi="Arial" w:cs="Arial"/>
          <w:sz w:val="22"/>
          <w:szCs w:val="20"/>
        </w:rPr>
        <w:tab/>
      </w:r>
    </w:p>
    <w:p w14:paraId="6197D610" w14:textId="0173F3EA" w:rsidR="00FE3C8E" w:rsidRPr="00A069F5" w:rsidRDefault="00FE3C8E" w:rsidP="003E24C7">
      <w:pPr>
        <w:rPr>
          <w:rFonts w:ascii="Arial" w:hAnsi="Arial" w:cs="Arial"/>
          <w:sz w:val="18"/>
        </w:rPr>
      </w:pPr>
    </w:p>
    <w:sectPr w:rsidR="00FE3C8E" w:rsidRPr="00A069F5" w:rsidSect="003E24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E5C2" w14:textId="77777777" w:rsidR="0095248B" w:rsidRDefault="0095248B">
      <w:r>
        <w:separator/>
      </w:r>
    </w:p>
  </w:endnote>
  <w:endnote w:type="continuationSeparator" w:id="0">
    <w:p w14:paraId="5C0BC4C0" w14:textId="77777777" w:rsidR="0095248B" w:rsidRDefault="0095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1877" w14:textId="5AC2F1B3" w:rsidR="00FE3C8E" w:rsidRPr="00FE3C8E" w:rsidRDefault="00FE3C8E" w:rsidP="00FE3C8E">
    <w:pPr>
      <w:pStyle w:val="Footer"/>
      <w:tabs>
        <w:tab w:val="clear" w:pos="8640"/>
        <w:tab w:val="right" w:pos="9360"/>
      </w:tabs>
      <w:rPr>
        <w:rFonts w:ascii="Arial" w:hAnsi="Arial" w:cs="Arial"/>
        <w:sz w:val="16"/>
        <w:szCs w:val="16"/>
      </w:rPr>
    </w:pPr>
    <w:r w:rsidRPr="00FE3C8E">
      <w:rPr>
        <w:rFonts w:ascii="Arial" w:hAnsi="Arial" w:cs="Arial"/>
        <w:sz w:val="16"/>
        <w:szCs w:val="16"/>
      </w:rPr>
      <w:t xml:space="preserve">AP </w:t>
    </w:r>
    <w:r w:rsidR="002664E8">
      <w:rPr>
        <w:rFonts w:ascii="Arial" w:hAnsi="Arial" w:cs="Arial"/>
        <w:sz w:val="16"/>
        <w:szCs w:val="16"/>
      </w:rPr>
      <w:t xml:space="preserve">4021 </w:t>
    </w:r>
    <w:r w:rsidRPr="00FE3C8E">
      <w:rPr>
        <w:rFonts w:ascii="Arial" w:hAnsi="Arial" w:cs="Arial"/>
        <w:sz w:val="16"/>
        <w:szCs w:val="16"/>
      </w:rPr>
      <w:tab/>
    </w:r>
    <w:r w:rsidRPr="00FE3C8E">
      <w:rPr>
        <w:rFonts w:ascii="Arial" w:hAnsi="Arial" w:cs="Arial"/>
        <w:sz w:val="16"/>
        <w:szCs w:val="16"/>
      </w:rPr>
      <w:tab/>
    </w:r>
    <w:sdt>
      <w:sdtPr>
        <w:rPr>
          <w:rFonts w:ascii="Arial" w:hAnsi="Arial" w:cs="Arial"/>
          <w:sz w:val="16"/>
          <w:szCs w:val="16"/>
        </w:rPr>
        <w:id w:val="1725793839"/>
        <w:docPartObj>
          <w:docPartGallery w:val="Page Numbers (Bottom of Page)"/>
          <w:docPartUnique/>
        </w:docPartObj>
      </w:sdtPr>
      <w:sdtEndPr>
        <w:rPr>
          <w:noProof/>
        </w:rPr>
      </w:sdtEndPr>
      <w:sdtContent>
        <w:r w:rsidRPr="00FE3C8E">
          <w:rPr>
            <w:rFonts w:ascii="Arial" w:hAnsi="Arial" w:cs="Arial"/>
            <w:sz w:val="16"/>
            <w:szCs w:val="16"/>
          </w:rPr>
          <w:fldChar w:fldCharType="begin"/>
        </w:r>
        <w:r w:rsidRPr="00FE3C8E">
          <w:rPr>
            <w:rFonts w:ascii="Arial" w:hAnsi="Arial" w:cs="Arial"/>
            <w:sz w:val="16"/>
            <w:szCs w:val="16"/>
          </w:rPr>
          <w:instrText xml:space="preserve"> PAGE   \* MERGEFORMAT </w:instrText>
        </w:r>
        <w:r w:rsidRPr="00FE3C8E">
          <w:rPr>
            <w:rFonts w:ascii="Arial" w:hAnsi="Arial" w:cs="Arial"/>
            <w:sz w:val="16"/>
            <w:szCs w:val="16"/>
          </w:rPr>
          <w:fldChar w:fldCharType="separate"/>
        </w:r>
        <w:r w:rsidR="00E37709">
          <w:rPr>
            <w:rFonts w:ascii="Arial" w:hAnsi="Arial" w:cs="Arial"/>
            <w:noProof/>
            <w:sz w:val="16"/>
            <w:szCs w:val="16"/>
          </w:rPr>
          <w:t>1</w:t>
        </w:r>
        <w:r w:rsidRPr="00FE3C8E">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AEA8" w14:textId="77777777" w:rsidR="0095248B" w:rsidRDefault="0095248B">
      <w:r>
        <w:separator/>
      </w:r>
    </w:p>
  </w:footnote>
  <w:footnote w:type="continuationSeparator" w:id="0">
    <w:p w14:paraId="52895A79" w14:textId="77777777" w:rsidR="0095248B" w:rsidRDefault="0095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78E"/>
    <w:multiLevelType w:val="hybridMultilevel"/>
    <w:tmpl w:val="97B0C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066C4"/>
    <w:multiLevelType w:val="hybridMultilevel"/>
    <w:tmpl w:val="CB204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37CF1"/>
    <w:multiLevelType w:val="multilevel"/>
    <w:tmpl w:val="1A4C4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BD6DAF"/>
    <w:multiLevelType w:val="hybridMultilevel"/>
    <w:tmpl w:val="34A87CE2"/>
    <w:lvl w:ilvl="0" w:tplc="9E6E7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263F8"/>
    <w:multiLevelType w:val="hybridMultilevel"/>
    <w:tmpl w:val="1FF8F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85680"/>
    <w:multiLevelType w:val="multilevel"/>
    <w:tmpl w:val="549E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C1191"/>
    <w:multiLevelType w:val="multilevel"/>
    <w:tmpl w:val="48F65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5A6D4E"/>
    <w:multiLevelType w:val="multilevel"/>
    <w:tmpl w:val="25882D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8B30DF"/>
    <w:multiLevelType w:val="hybridMultilevel"/>
    <w:tmpl w:val="189A2A52"/>
    <w:lvl w:ilvl="0" w:tplc="7E527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292500">
    <w:abstractNumId w:val="1"/>
  </w:num>
  <w:num w:numId="2" w16cid:durableId="1559393593">
    <w:abstractNumId w:val="0"/>
  </w:num>
  <w:num w:numId="3" w16cid:durableId="1870608507">
    <w:abstractNumId w:val="4"/>
  </w:num>
  <w:num w:numId="4" w16cid:durableId="327635070">
    <w:abstractNumId w:val="8"/>
  </w:num>
  <w:num w:numId="5" w16cid:durableId="2146004420">
    <w:abstractNumId w:val="3"/>
  </w:num>
  <w:num w:numId="6" w16cid:durableId="1994722418">
    <w:abstractNumId w:val="5"/>
  </w:num>
  <w:num w:numId="7" w16cid:durableId="295567978">
    <w:abstractNumId w:val="6"/>
  </w:num>
  <w:num w:numId="8" w16cid:durableId="1216353271">
    <w:abstractNumId w:val="2"/>
  </w:num>
  <w:num w:numId="9" w16cid:durableId="2082284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55"/>
    <w:rsid w:val="00045C35"/>
    <w:rsid w:val="000656CA"/>
    <w:rsid w:val="000A05A4"/>
    <w:rsid w:val="000C7417"/>
    <w:rsid w:val="000D7C24"/>
    <w:rsid w:val="00117850"/>
    <w:rsid w:val="00127AC0"/>
    <w:rsid w:val="00171C51"/>
    <w:rsid w:val="0019719F"/>
    <w:rsid w:val="001A0318"/>
    <w:rsid w:val="001B6754"/>
    <w:rsid w:val="00206B7C"/>
    <w:rsid w:val="00251BF7"/>
    <w:rsid w:val="00264177"/>
    <w:rsid w:val="002664E8"/>
    <w:rsid w:val="00285075"/>
    <w:rsid w:val="002D2863"/>
    <w:rsid w:val="00321E1C"/>
    <w:rsid w:val="003560CA"/>
    <w:rsid w:val="003628A0"/>
    <w:rsid w:val="003C1B13"/>
    <w:rsid w:val="003D612E"/>
    <w:rsid w:val="003D69AE"/>
    <w:rsid w:val="003E24C7"/>
    <w:rsid w:val="003E528B"/>
    <w:rsid w:val="004410BC"/>
    <w:rsid w:val="004A11A3"/>
    <w:rsid w:val="00502DF5"/>
    <w:rsid w:val="005406A2"/>
    <w:rsid w:val="00541E12"/>
    <w:rsid w:val="00561406"/>
    <w:rsid w:val="005B0B3E"/>
    <w:rsid w:val="005E2DFA"/>
    <w:rsid w:val="00613508"/>
    <w:rsid w:val="00634C1F"/>
    <w:rsid w:val="006414C5"/>
    <w:rsid w:val="006577CA"/>
    <w:rsid w:val="00693B11"/>
    <w:rsid w:val="006A5420"/>
    <w:rsid w:val="006B40B3"/>
    <w:rsid w:val="00703CFF"/>
    <w:rsid w:val="00775785"/>
    <w:rsid w:val="007E1D55"/>
    <w:rsid w:val="007F4EC1"/>
    <w:rsid w:val="008040D7"/>
    <w:rsid w:val="0081482E"/>
    <w:rsid w:val="0084611E"/>
    <w:rsid w:val="00867406"/>
    <w:rsid w:val="008F4EB4"/>
    <w:rsid w:val="009027BC"/>
    <w:rsid w:val="00903A57"/>
    <w:rsid w:val="0093105C"/>
    <w:rsid w:val="0095248B"/>
    <w:rsid w:val="00A069F5"/>
    <w:rsid w:val="00A32244"/>
    <w:rsid w:val="00B22472"/>
    <w:rsid w:val="00B649E5"/>
    <w:rsid w:val="00B949CB"/>
    <w:rsid w:val="00BB1216"/>
    <w:rsid w:val="00BF3572"/>
    <w:rsid w:val="00C37DAE"/>
    <w:rsid w:val="00C407EB"/>
    <w:rsid w:val="00C4230F"/>
    <w:rsid w:val="00C439A8"/>
    <w:rsid w:val="00C531D7"/>
    <w:rsid w:val="00C64182"/>
    <w:rsid w:val="00C73232"/>
    <w:rsid w:val="00C83051"/>
    <w:rsid w:val="00C83EEB"/>
    <w:rsid w:val="00C97D51"/>
    <w:rsid w:val="00CC3850"/>
    <w:rsid w:val="00CD3C9D"/>
    <w:rsid w:val="00CF5F9D"/>
    <w:rsid w:val="00D15E71"/>
    <w:rsid w:val="00D164E0"/>
    <w:rsid w:val="00D506C2"/>
    <w:rsid w:val="00DA038D"/>
    <w:rsid w:val="00DB6494"/>
    <w:rsid w:val="00DF34B2"/>
    <w:rsid w:val="00DF5A7B"/>
    <w:rsid w:val="00E24C5B"/>
    <w:rsid w:val="00E376B5"/>
    <w:rsid w:val="00E37709"/>
    <w:rsid w:val="00E840B1"/>
    <w:rsid w:val="00E92464"/>
    <w:rsid w:val="00EB239D"/>
    <w:rsid w:val="00ED7F7F"/>
    <w:rsid w:val="00EF5C0A"/>
    <w:rsid w:val="00F45033"/>
    <w:rsid w:val="00FC4357"/>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8ADE8"/>
  <w15:chartTrackingRefBased/>
  <w15:docId w15:val="{0534910E-3371-4666-AAC3-588C563B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F9D"/>
    <w:pPr>
      <w:spacing w:before="100" w:beforeAutospacing="1" w:after="100" w:afterAutospacing="1"/>
    </w:pPr>
  </w:style>
  <w:style w:type="character" w:styleId="Strong">
    <w:name w:val="Strong"/>
    <w:basedOn w:val="DefaultParagraphFont"/>
    <w:qFormat/>
    <w:rsid w:val="00CF5F9D"/>
    <w:rPr>
      <w:b/>
      <w:bCs/>
    </w:rPr>
  </w:style>
  <w:style w:type="paragraph" w:styleId="Header">
    <w:name w:val="header"/>
    <w:basedOn w:val="Normal"/>
    <w:rsid w:val="00171C51"/>
    <w:pPr>
      <w:tabs>
        <w:tab w:val="center" w:pos="4320"/>
        <w:tab w:val="right" w:pos="8640"/>
      </w:tabs>
    </w:pPr>
  </w:style>
  <w:style w:type="paragraph" w:styleId="Footer">
    <w:name w:val="footer"/>
    <w:basedOn w:val="Normal"/>
    <w:link w:val="FooterChar"/>
    <w:uiPriority w:val="99"/>
    <w:rsid w:val="00171C51"/>
    <w:pPr>
      <w:tabs>
        <w:tab w:val="center" w:pos="4320"/>
        <w:tab w:val="right" w:pos="8640"/>
      </w:tabs>
    </w:pPr>
  </w:style>
  <w:style w:type="paragraph" w:styleId="ListParagraph">
    <w:name w:val="List Paragraph"/>
    <w:basedOn w:val="Normal"/>
    <w:uiPriority w:val="34"/>
    <w:qFormat/>
    <w:rsid w:val="00FE3C8E"/>
    <w:pPr>
      <w:ind w:left="720"/>
      <w:contextualSpacing/>
    </w:pPr>
  </w:style>
  <w:style w:type="character" w:customStyle="1" w:styleId="FooterChar">
    <w:name w:val="Footer Char"/>
    <w:basedOn w:val="DefaultParagraphFont"/>
    <w:link w:val="Footer"/>
    <w:uiPriority w:val="99"/>
    <w:rsid w:val="00FE3C8E"/>
    <w:rPr>
      <w:sz w:val="24"/>
      <w:szCs w:val="24"/>
    </w:rPr>
  </w:style>
  <w:style w:type="paragraph" w:customStyle="1" w:styleId="paragraph">
    <w:name w:val="paragraph"/>
    <w:basedOn w:val="Normal"/>
    <w:rsid w:val="00E376B5"/>
    <w:pPr>
      <w:spacing w:before="100" w:beforeAutospacing="1" w:after="100" w:afterAutospacing="1"/>
    </w:pPr>
  </w:style>
  <w:style w:type="character" w:customStyle="1" w:styleId="normaltextrun">
    <w:name w:val="normaltextrun"/>
    <w:basedOn w:val="DefaultParagraphFont"/>
    <w:rsid w:val="00E376B5"/>
  </w:style>
  <w:style w:type="character" w:customStyle="1" w:styleId="eop">
    <w:name w:val="eop"/>
    <w:basedOn w:val="DefaultParagraphFont"/>
    <w:rsid w:val="00E3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6077">
      <w:bodyDiv w:val="1"/>
      <w:marLeft w:val="0"/>
      <w:marRight w:val="0"/>
      <w:marTop w:val="0"/>
      <w:marBottom w:val="0"/>
      <w:divBdr>
        <w:top w:val="none" w:sz="0" w:space="0" w:color="auto"/>
        <w:left w:val="none" w:sz="0" w:space="0" w:color="auto"/>
        <w:bottom w:val="none" w:sz="0" w:space="0" w:color="auto"/>
        <w:right w:val="none" w:sz="0" w:space="0" w:color="auto"/>
      </w:divBdr>
    </w:div>
    <w:div w:id="575434029">
      <w:bodyDiv w:val="1"/>
      <w:marLeft w:val="0"/>
      <w:marRight w:val="0"/>
      <w:marTop w:val="0"/>
      <w:marBottom w:val="0"/>
      <w:divBdr>
        <w:top w:val="none" w:sz="0" w:space="0" w:color="auto"/>
        <w:left w:val="none" w:sz="0" w:space="0" w:color="auto"/>
        <w:bottom w:val="none" w:sz="0" w:space="0" w:color="auto"/>
        <w:right w:val="none" w:sz="0" w:space="0" w:color="auto"/>
      </w:divBdr>
      <w:divsChild>
        <w:div w:id="943345861">
          <w:marLeft w:val="0"/>
          <w:marRight w:val="0"/>
          <w:marTop w:val="0"/>
          <w:marBottom w:val="0"/>
          <w:divBdr>
            <w:top w:val="none" w:sz="0" w:space="0" w:color="auto"/>
            <w:left w:val="none" w:sz="0" w:space="0" w:color="auto"/>
            <w:bottom w:val="none" w:sz="0" w:space="0" w:color="auto"/>
            <w:right w:val="none" w:sz="0" w:space="0" w:color="auto"/>
          </w:divBdr>
        </w:div>
        <w:div w:id="1175026475">
          <w:marLeft w:val="0"/>
          <w:marRight w:val="0"/>
          <w:marTop w:val="0"/>
          <w:marBottom w:val="0"/>
          <w:divBdr>
            <w:top w:val="none" w:sz="0" w:space="0" w:color="auto"/>
            <w:left w:val="none" w:sz="0" w:space="0" w:color="auto"/>
            <w:bottom w:val="none" w:sz="0" w:space="0" w:color="auto"/>
            <w:right w:val="none" w:sz="0" w:space="0" w:color="auto"/>
          </w:divBdr>
        </w:div>
        <w:div w:id="1073551214">
          <w:marLeft w:val="0"/>
          <w:marRight w:val="0"/>
          <w:marTop w:val="0"/>
          <w:marBottom w:val="0"/>
          <w:divBdr>
            <w:top w:val="none" w:sz="0" w:space="0" w:color="auto"/>
            <w:left w:val="none" w:sz="0" w:space="0" w:color="auto"/>
            <w:bottom w:val="none" w:sz="0" w:space="0" w:color="auto"/>
            <w:right w:val="none" w:sz="0" w:space="0" w:color="auto"/>
          </w:divBdr>
        </w:div>
        <w:div w:id="143396593">
          <w:marLeft w:val="0"/>
          <w:marRight w:val="0"/>
          <w:marTop w:val="0"/>
          <w:marBottom w:val="0"/>
          <w:divBdr>
            <w:top w:val="none" w:sz="0" w:space="0" w:color="auto"/>
            <w:left w:val="none" w:sz="0" w:space="0" w:color="auto"/>
            <w:bottom w:val="none" w:sz="0" w:space="0" w:color="auto"/>
            <w:right w:val="none" w:sz="0" w:space="0" w:color="auto"/>
          </w:divBdr>
          <w:divsChild>
            <w:div w:id="1301691792">
              <w:marLeft w:val="0"/>
              <w:marRight w:val="0"/>
              <w:marTop w:val="0"/>
              <w:marBottom w:val="0"/>
              <w:divBdr>
                <w:top w:val="none" w:sz="0" w:space="0" w:color="auto"/>
                <w:left w:val="none" w:sz="0" w:space="0" w:color="auto"/>
                <w:bottom w:val="none" w:sz="0" w:space="0" w:color="auto"/>
                <w:right w:val="none" w:sz="0" w:space="0" w:color="auto"/>
              </w:divBdr>
            </w:div>
            <w:div w:id="2088533756">
              <w:marLeft w:val="0"/>
              <w:marRight w:val="0"/>
              <w:marTop w:val="0"/>
              <w:marBottom w:val="0"/>
              <w:divBdr>
                <w:top w:val="none" w:sz="0" w:space="0" w:color="auto"/>
                <w:left w:val="none" w:sz="0" w:space="0" w:color="auto"/>
                <w:bottom w:val="none" w:sz="0" w:space="0" w:color="auto"/>
                <w:right w:val="none" w:sz="0" w:space="0" w:color="auto"/>
              </w:divBdr>
            </w:div>
            <w:div w:id="1618953557">
              <w:marLeft w:val="0"/>
              <w:marRight w:val="0"/>
              <w:marTop w:val="0"/>
              <w:marBottom w:val="0"/>
              <w:divBdr>
                <w:top w:val="none" w:sz="0" w:space="0" w:color="auto"/>
                <w:left w:val="none" w:sz="0" w:space="0" w:color="auto"/>
                <w:bottom w:val="none" w:sz="0" w:space="0" w:color="auto"/>
                <w:right w:val="none" w:sz="0" w:space="0" w:color="auto"/>
              </w:divBdr>
            </w:div>
            <w:div w:id="1109667161">
              <w:marLeft w:val="0"/>
              <w:marRight w:val="0"/>
              <w:marTop w:val="0"/>
              <w:marBottom w:val="0"/>
              <w:divBdr>
                <w:top w:val="none" w:sz="0" w:space="0" w:color="auto"/>
                <w:left w:val="none" w:sz="0" w:space="0" w:color="auto"/>
                <w:bottom w:val="none" w:sz="0" w:space="0" w:color="auto"/>
                <w:right w:val="none" w:sz="0" w:space="0" w:color="auto"/>
              </w:divBdr>
            </w:div>
            <w:div w:id="903684622">
              <w:marLeft w:val="0"/>
              <w:marRight w:val="0"/>
              <w:marTop w:val="0"/>
              <w:marBottom w:val="0"/>
              <w:divBdr>
                <w:top w:val="none" w:sz="0" w:space="0" w:color="auto"/>
                <w:left w:val="none" w:sz="0" w:space="0" w:color="auto"/>
                <w:bottom w:val="none" w:sz="0" w:space="0" w:color="auto"/>
                <w:right w:val="none" w:sz="0" w:space="0" w:color="auto"/>
              </w:divBdr>
            </w:div>
          </w:divsChild>
        </w:div>
        <w:div w:id="1235623162">
          <w:marLeft w:val="0"/>
          <w:marRight w:val="0"/>
          <w:marTop w:val="0"/>
          <w:marBottom w:val="0"/>
          <w:divBdr>
            <w:top w:val="none" w:sz="0" w:space="0" w:color="auto"/>
            <w:left w:val="none" w:sz="0" w:space="0" w:color="auto"/>
            <w:bottom w:val="none" w:sz="0" w:space="0" w:color="auto"/>
            <w:right w:val="none" w:sz="0" w:space="0" w:color="auto"/>
          </w:divBdr>
        </w:div>
        <w:div w:id="885022194">
          <w:marLeft w:val="0"/>
          <w:marRight w:val="0"/>
          <w:marTop w:val="0"/>
          <w:marBottom w:val="0"/>
          <w:divBdr>
            <w:top w:val="none" w:sz="0" w:space="0" w:color="auto"/>
            <w:left w:val="none" w:sz="0" w:space="0" w:color="auto"/>
            <w:bottom w:val="none" w:sz="0" w:space="0" w:color="auto"/>
            <w:right w:val="none" w:sz="0" w:space="0" w:color="auto"/>
          </w:divBdr>
        </w:div>
        <w:div w:id="867178789">
          <w:marLeft w:val="0"/>
          <w:marRight w:val="0"/>
          <w:marTop w:val="0"/>
          <w:marBottom w:val="0"/>
          <w:divBdr>
            <w:top w:val="none" w:sz="0" w:space="0" w:color="auto"/>
            <w:left w:val="none" w:sz="0" w:space="0" w:color="auto"/>
            <w:bottom w:val="none" w:sz="0" w:space="0" w:color="auto"/>
            <w:right w:val="none" w:sz="0" w:space="0" w:color="auto"/>
          </w:divBdr>
        </w:div>
        <w:div w:id="505247169">
          <w:marLeft w:val="0"/>
          <w:marRight w:val="0"/>
          <w:marTop w:val="0"/>
          <w:marBottom w:val="0"/>
          <w:divBdr>
            <w:top w:val="none" w:sz="0" w:space="0" w:color="auto"/>
            <w:left w:val="none" w:sz="0" w:space="0" w:color="auto"/>
            <w:bottom w:val="none" w:sz="0" w:space="0" w:color="auto"/>
            <w:right w:val="none" w:sz="0" w:space="0" w:color="auto"/>
          </w:divBdr>
        </w:div>
      </w:divsChild>
    </w:div>
    <w:div w:id="1059133857">
      <w:bodyDiv w:val="1"/>
      <w:marLeft w:val="0"/>
      <w:marRight w:val="0"/>
      <w:marTop w:val="0"/>
      <w:marBottom w:val="0"/>
      <w:divBdr>
        <w:top w:val="none" w:sz="0" w:space="0" w:color="auto"/>
        <w:left w:val="none" w:sz="0" w:space="0" w:color="auto"/>
        <w:bottom w:val="none" w:sz="0" w:space="0" w:color="auto"/>
        <w:right w:val="none" w:sz="0" w:space="0" w:color="auto"/>
      </w:divBdr>
      <w:divsChild>
        <w:div w:id="1373772232">
          <w:marLeft w:val="0"/>
          <w:marRight w:val="0"/>
          <w:marTop w:val="0"/>
          <w:marBottom w:val="0"/>
          <w:divBdr>
            <w:top w:val="none" w:sz="0" w:space="0" w:color="auto"/>
            <w:left w:val="none" w:sz="0" w:space="0" w:color="auto"/>
            <w:bottom w:val="none" w:sz="0" w:space="0" w:color="auto"/>
            <w:right w:val="none" w:sz="0" w:space="0" w:color="auto"/>
          </w:divBdr>
        </w:div>
        <w:div w:id="545725564">
          <w:marLeft w:val="0"/>
          <w:marRight w:val="0"/>
          <w:marTop w:val="0"/>
          <w:marBottom w:val="0"/>
          <w:divBdr>
            <w:top w:val="none" w:sz="0" w:space="0" w:color="auto"/>
            <w:left w:val="none" w:sz="0" w:space="0" w:color="auto"/>
            <w:bottom w:val="none" w:sz="0" w:space="0" w:color="auto"/>
            <w:right w:val="none" w:sz="0" w:space="0" w:color="auto"/>
          </w:divBdr>
        </w:div>
      </w:divsChild>
    </w:div>
    <w:div w:id="1571890814">
      <w:bodyDiv w:val="1"/>
      <w:marLeft w:val="0"/>
      <w:marRight w:val="0"/>
      <w:marTop w:val="0"/>
      <w:marBottom w:val="0"/>
      <w:divBdr>
        <w:top w:val="none" w:sz="0" w:space="0" w:color="auto"/>
        <w:left w:val="none" w:sz="0" w:space="0" w:color="auto"/>
        <w:bottom w:val="none" w:sz="0" w:space="0" w:color="auto"/>
        <w:right w:val="none" w:sz="0" w:space="0" w:color="auto"/>
      </w:divBdr>
    </w:div>
    <w:div w:id="1814247785">
      <w:bodyDiv w:val="1"/>
      <w:marLeft w:val="0"/>
      <w:marRight w:val="0"/>
      <w:marTop w:val="0"/>
      <w:marBottom w:val="0"/>
      <w:divBdr>
        <w:top w:val="none" w:sz="0" w:space="0" w:color="auto"/>
        <w:left w:val="none" w:sz="0" w:space="0" w:color="auto"/>
        <w:bottom w:val="none" w:sz="0" w:space="0" w:color="auto"/>
        <w:right w:val="none" w:sz="0" w:space="0" w:color="auto"/>
      </w:divBdr>
      <w:divsChild>
        <w:div w:id="589311017">
          <w:marLeft w:val="0"/>
          <w:marRight w:val="0"/>
          <w:marTop w:val="0"/>
          <w:marBottom w:val="0"/>
          <w:divBdr>
            <w:top w:val="none" w:sz="0" w:space="0" w:color="auto"/>
            <w:left w:val="none" w:sz="0" w:space="0" w:color="auto"/>
            <w:bottom w:val="none" w:sz="0" w:space="0" w:color="auto"/>
            <w:right w:val="none" w:sz="0" w:space="0" w:color="auto"/>
          </w:divBdr>
        </w:div>
        <w:div w:id="592475321">
          <w:marLeft w:val="0"/>
          <w:marRight w:val="0"/>
          <w:marTop w:val="0"/>
          <w:marBottom w:val="0"/>
          <w:divBdr>
            <w:top w:val="none" w:sz="0" w:space="0" w:color="auto"/>
            <w:left w:val="none" w:sz="0" w:space="0" w:color="auto"/>
            <w:bottom w:val="none" w:sz="0" w:space="0" w:color="auto"/>
            <w:right w:val="none" w:sz="0" w:space="0" w:color="auto"/>
          </w:divBdr>
        </w:div>
        <w:div w:id="1967471265">
          <w:marLeft w:val="0"/>
          <w:marRight w:val="0"/>
          <w:marTop w:val="0"/>
          <w:marBottom w:val="0"/>
          <w:divBdr>
            <w:top w:val="none" w:sz="0" w:space="0" w:color="auto"/>
            <w:left w:val="none" w:sz="0" w:space="0" w:color="auto"/>
            <w:bottom w:val="none" w:sz="0" w:space="0" w:color="auto"/>
            <w:right w:val="none" w:sz="0" w:space="0" w:color="auto"/>
          </w:divBdr>
        </w:div>
        <w:div w:id="1563061558">
          <w:marLeft w:val="0"/>
          <w:marRight w:val="0"/>
          <w:marTop w:val="0"/>
          <w:marBottom w:val="0"/>
          <w:divBdr>
            <w:top w:val="none" w:sz="0" w:space="0" w:color="auto"/>
            <w:left w:val="none" w:sz="0" w:space="0" w:color="auto"/>
            <w:bottom w:val="none" w:sz="0" w:space="0" w:color="auto"/>
            <w:right w:val="none" w:sz="0" w:space="0" w:color="auto"/>
          </w:divBdr>
        </w:div>
      </w:divsChild>
    </w:div>
    <w:div w:id="1910848673">
      <w:bodyDiv w:val="1"/>
      <w:marLeft w:val="0"/>
      <w:marRight w:val="0"/>
      <w:marTop w:val="0"/>
      <w:marBottom w:val="0"/>
      <w:divBdr>
        <w:top w:val="none" w:sz="0" w:space="0" w:color="auto"/>
        <w:left w:val="none" w:sz="0" w:space="0" w:color="auto"/>
        <w:bottom w:val="none" w:sz="0" w:space="0" w:color="auto"/>
        <w:right w:val="none" w:sz="0" w:space="0" w:color="auto"/>
      </w:divBdr>
      <w:divsChild>
        <w:div w:id="766578453">
          <w:marLeft w:val="0"/>
          <w:marRight w:val="0"/>
          <w:marTop w:val="0"/>
          <w:marBottom w:val="0"/>
          <w:divBdr>
            <w:top w:val="none" w:sz="0" w:space="0" w:color="auto"/>
            <w:left w:val="none" w:sz="0" w:space="0" w:color="auto"/>
            <w:bottom w:val="none" w:sz="0" w:space="0" w:color="auto"/>
            <w:right w:val="none" w:sz="0" w:space="0" w:color="auto"/>
          </w:divBdr>
        </w:div>
        <w:div w:id="32593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Settings\CHIXON\Local Settings\Temporary Internet Files\Content.Outlook\7P65OK0Q\SDCCDPolicy_template.dot</Template>
  <TotalTime>12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San Diego Community College District</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chixon</dc:creator>
  <cp:keywords/>
  <dc:description/>
  <cp:lastModifiedBy>Shelly Hess</cp:lastModifiedBy>
  <cp:revision>5</cp:revision>
  <cp:lastPrinted>2010-05-03T21:31:00Z</cp:lastPrinted>
  <dcterms:created xsi:type="dcterms:W3CDTF">2023-03-18T10:16:00Z</dcterms:created>
  <dcterms:modified xsi:type="dcterms:W3CDTF">2023-03-18T10:30:00Z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0016c8a289efd050a5cb3ae832cf34faadf55f7097d55fea2e4248383c43bf40</vt:lpwstr>
  </property>
</Properties>
</file>