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color w:val="ff0000"/>
          <w:sz w:val="32"/>
          <w:szCs w:val="32"/>
          <w:rtl w:val="0"/>
        </w:rPr>
        <w:t xml:space="preserve">DRAFT </w:t>
      </w:r>
      <w:r w:rsidDel="00000000" w:rsidR="00000000" w:rsidRPr="00000000">
        <w:rPr>
          <w:rFonts w:ascii="Calibri" w:cs="Calibri" w:eastAsia="Calibri" w:hAnsi="Calibri"/>
          <w:b w:val="1"/>
          <w:sz w:val="32"/>
          <w:szCs w:val="32"/>
          <w:rtl w:val="0"/>
        </w:rPr>
        <w:t xml:space="preserve">Academic Success Committee Agenda Minutes</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San Diego Miramar College</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May 6, 2022 ● 1:00 p.m. – 2:00 p.m.</w:t>
      </w:r>
    </w:p>
    <w:p w:rsidR="00000000" w:rsidDel="00000000" w:rsidP="00000000" w:rsidRDefault="00000000" w:rsidRPr="00000000" w14:paraId="00000004">
      <w:pPr>
        <w:jc w:val="center"/>
        <w:rPr>
          <w:rFonts w:ascii="Calibri" w:cs="Calibri" w:eastAsia="Calibri" w:hAnsi="Calibri"/>
        </w:rPr>
      </w:pPr>
      <w:hyperlink r:id="rId7">
        <w:r w:rsidDel="00000000" w:rsidR="00000000" w:rsidRPr="00000000">
          <w:rPr>
            <w:rFonts w:ascii="Calibri" w:cs="Calibri" w:eastAsia="Calibri" w:hAnsi="Calibri"/>
            <w:b w:val="1"/>
            <w:color w:val="0000ff"/>
            <w:u w:val="single"/>
            <w:rtl w:val="0"/>
          </w:rPr>
          <w:t xml:space="preserve">Zoom Link</w:t>
        </w:r>
      </w:hyperlink>
      <w:r w:rsidDel="00000000" w:rsidR="00000000" w:rsidRPr="00000000">
        <w:rPr>
          <w:rFonts w:ascii="Calibri" w:cs="Calibri" w:eastAsia="Calibri" w:hAnsi="Calibri"/>
          <w:b w:val="1"/>
          <w:rtl w:val="0"/>
        </w:rPr>
        <w:t xml:space="preserve"> for this meeting, </w:t>
      </w:r>
      <w:r w:rsidDel="00000000" w:rsidR="00000000" w:rsidRPr="00000000">
        <w:rPr>
          <w:rFonts w:ascii="Calibri" w:cs="Calibri" w:eastAsia="Calibri" w:hAnsi="Calibri"/>
          <w:rtl w:val="0"/>
        </w:rPr>
        <w:t xml:space="preserve">Password: 293068</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Fonts w:ascii="Calibri" w:cs="Calibri" w:eastAsia="Calibri" w:hAnsi="Calibri"/>
          <w:rtl w:val="0"/>
        </w:rPr>
        <w:t xml:space="preserve">(https://cccconfer.zoom.us/j/96761017864?pwd=eGZhOWtaMFlYbnkvQ2ZvU3F1cFpwdz09)</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Fonts w:ascii="Calibri" w:cs="Calibri" w:eastAsia="Calibri" w:hAnsi="Calibri"/>
          <w:rtl w:val="0"/>
        </w:rPr>
        <w:t xml:space="preserve">Or Telephone:  +1 669 900 6833 (US Toll), Meeting ID: 967 6101 7864</w:t>
      </w:r>
    </w:p>
    <w:p w:rsidR="00000000" w:rsidDel="00000000" w:rsidP="00000000" w:rsidRDefault="00000000" w:rsidRPr="00000000" w14:paraId="00000007">
      <w:pPr>
        <w:jc w:val="center"/>
        <w:rPr>
          <w:rFonts w:ascii="Calibri" w:cs="Calibri" w:eastAsia="Calibri" w:hAnsi="Calibri"/>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-12699</wp:posOffset>
                </wp:positionV>
                <wp:extent cx="6689725" cy="70155"/>
                <wp:effectExtent b="0" l="0" r="0" t="0"/>
                <wp:wrapNone/>
                <wp:docPr id="21" name=""/>
                <a:graphic>
                  <a:graphicData uri="http://schemas.microsoft.com/office/word/2010/wordprocessingShape">
                    <wps:wsp>
                      <wps:cNvCnPr/>
                      <wps:spPr>
                        <a:xfrm>
                          <a:off x="2088750" y="3779250"/>
                          <a:ext cx="6514500" cy="150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-12699</wp:posOffset>
                </wp:positionV>
                <wp:extent cx="6689725" cy="70155"/>
                <wp:effectExtent b="0" l="0" r="0" t="0"/>
                <wp:wrapNone/>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89725" cy="70155"/>
                        </a:xfrm>
                        <a:prstGeom prst="rect"/>
                        <a:ln/>
                      </pic:spPr>
                    </pic:pic>
                  </a:graphicData>
                </a:graphic>
              </wp:anchor>
            </w:drawing>
          </mc:Fallback>
        </mc:AlternateContent>
      </w:r>
    </w:p>
    <w:p w:rsidR="00000000" w:rsidDel="00000000" w:rsidP="00000000" w:rsidRDefault="00000000" w:rsidRPr="00000000" w14:paraId="00000008">
      <w:pPr>
        <w:ind w:left="360" w:firstLine="0"/>
        <w:jc w:val="both"/>
        <w:rPr>
          <w:rFonts w:ascii="Calibri" w:cs="Calibri" w:eastAsia="Calibri" w:hAnsi="Calibri"/>
          <w:color w:val="212121"/>
        </w:rPr>
      </w:pPr>
      <w:r w:rsidDel="00000000" w:rsidR="00000000" w:rsidRPr="00000000">
        <w:rPr>
          <w:rFonts w:ascii="Calibri" w:cs="Calibri" w:eastAsia="Calibri" w:hAnsi="Calibri"/>
          <w:b w:val="1"/>
          <w:rtl w:val="0"/>
        </w:rPr>
        <w:t xml:space="preserve">Members: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212121"/>
          <w:rtl w:val="0"/>
        </w:rPr>
        <w:t xml:space="preserve">Nessa Julian, Daniel Miramontez, Reylyn Cabrera, Francine McCorkell, Xi Zhang, Donnie Tran (chairperson), Alex Stiller-Shulman, Laura Sweeney, Melisssa Wolfson, Laz Lahera, Isabelle Martin</w:t>
      </w:r>
    </w:p>
    <w:p w:rsidR="00000000" w:rsidDel="00000000" w:rsidP="00000000" w:rsidRDefault="00000000" w:rsidRPr="00000000" w14:paraId="00000009">
      <w:pPr>
        <w:ind w:left="360" w:firstLine="0"/>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A">
      <w:pPr>
        <w:ind w:left="360" w:firstLine="0"/>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Vacancies (Designees):  Students (2), Classroom ILT or IA, PRIELT, Student Services, Counseling, Academic Senate</w:t>
      </w:r>
    </w:p>
    <w:p w:rsidR="00000000" w:rsidDel="00000000" w:rsidP="00000000" w:rsidRDefault="00000000" w:rsidRPr="00000000" w14:paraId="0000000B">
      <w:pPr>
        <w:ind w:left="36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Call to order</w:t>
      </w:r>
      <w:r w:rsidDel="00000000" w:rsidR="00000000" w:rsidRPr="00000000">
        <w:rPr>
          <w:rFonts w:ascii="Calibri" w:cs="Calibri" w:eastAsia="Calibri" w:hAnsi="Calibri"/>
          <w:rtl w:val="0"/>
        </w:rPr>
        <w:t xml:space="preserve"> (1:03 p.m.) - Attendees:  L. Lahera, I. Martin, N. Julian, F. McCorkell, D. Miramontez (N. Julian proxy), R. Cabrera, L. Sweeney, D. Tran </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Adoption of </w:t>
      </w:r>
      <w:r w:rsidDel="00000000" w:rsidR="00000000" w:rsidRPr="00000000">
        <w:rPr>
          <w:rFonts w:ascii="Calibri" w:cs="Calibri" w:eastAsia="Calibri" w:hAnsi="Calibri"/>
          <w:rtl w:val="0"/>
        </w:rPr>
        <w:t xml:space="preserve">May 6, 2022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agenda (below, 5 min) </w:t>
      </w:r>
      <w:r w:rsidDel="00000000" w:rsidR="00000000" w:rsidRPr="00000000">
        <w:rPr>
          <w:rFonts w:ascii="Calibri" w:cs="Calibri" w:eastAsia="Calibri" w:hAnsi="Calibri"/>
          <w:rtl w:val="0"/>
        </w:rPr>
        <w:t xml:space="preserve">- L. Lahera (1st), F. McCorkell (2nd)</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Approval of March 4, 2022 </w:t>
      </w:r>
      <w:hyperlink r:id="rId9">
        <w:r w:rsidDel="00000000" w:rsidR="00000000" w:rsidRPr="00000000">
          <w:rPr>
            <w:rFonts w:ascii="Calibri" w:cs="Calibri" w:eastAsia="Calibri" w:hAnsi="Calibri"/>
            <w:color w:val="1155cc"/>
            <w:u w:val="single"/>
            <w:rtl w:val="0"/>
          </w:rPr>
          <w:t xml:space="preserve">minutes</w:t>
        </w:r>
      </w:hyperlink>
      <w:r w:rsidDel="00000000" w:rsidR="00000000" w:rsidRPr="00000000">
        <w:rPr>
          <w:rFonts w:ascii="Calibri" w:cs="Calibri" w:eastAsia="Calibri" w:hAnsi="Calibri"/>
          <w:rtl w:val="0"/>
        </w:rPr>
        <w:t xml:space="preserve"> (5 min) - F. McCorkell (1st), L. Lahera (2nd)</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74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5865"/>
        <w:gridCol w:w="1065"/>
        <w:gridCol w:w="1650"/>
        <w:gridCol w:w="1710"/>
        <w:tblGridChange w:id="0">
          <w:tblGrid>
            <w:gridCol w:w="450"/>
            <w:gridCol w:w="5865"/>
            <w:gridCol w:w="1065"/>
            <w:gridCol w:w="1650"/>
            <w:gridCol w:w="1710"/>
          </w:tblGrid>
        </w:tblGridChange>
      </w:tblGrid>
      <w:tr>
        <w:trPr>
          <w:cantSplit w:val="0"/>
          <w:trHeight w:val="503" w:hRule="atLeast"/>
          <w:tblHeader w:val="0"/>
        </w:trPr>
        <w:tc>
          <w:tcPr/>
          <w:p w:rsidR="00000000" w:rsidDel="00000000" w:rsidP="00000000" w:rsidRDefault="00000000" w:rsidRPr="00000000" w14:paraId="00000010">
            <w:pPr>
              <w:jc w:val="center"/>
              <w:rPr>
                <w:rFonts w:ascii="Calibri" w:cs="Calibri" w:eastAsia="Calibri" w:hAnsi="Calibri"/>
                <w:b w:val="1"/>
              </w:rPr>
            </w:pPr>
            <w:r w:rsidDel="00000000" w:rsidR="00000000" w:rsidRPr="00000000">
              <w:rPr>
                <w:rFonts w:ascii="Calibri" w:cs="Calibri" w:eastAsia="Calibri" w:hAnsi="Calibri"/>
                <w:b w:val="1"/>
                <w:rtl w:val="0"/>
              </w:rPr>
              <w:t xml:space="preserve">#</w:t>
            </w:r>
          </w:p>
        </w:tc>
        <w:tc>
          <w:tcPr/>
          <w:p w:rsidR="00000000" w:rsidDel="00000000" w:rsidP="00000000" w:rsidRDefault="00000000" w:rsidRPr="00000000" w14:paraId="00000011">
            <w:pPr>
              <w:jc w:val="center"/>
              <w:rPr>
                <w:rFonts w:ascii="Calibri" w:cs="Calibri" w:eastAsia="Calibri" w:hAnsi="Calibri"/>
                <w:b w:val="1"/>
              </w:rPr>
            </w:pPr>
            <w:r w:rsidDel="00000000" w:rsidR="00000000" w:rsidRPr="00000000">
              <w:rPr>
                <w:rFonts w:ascii="Calibri" w:cs="Calibri" w:eastAsia="Calibri" w:hAnsi="Calibri"/>
                <w:b w:val="1"/>
                <w:rtl w:val="0"/>
              </w:rPr>
              <w:t xml:space="preserve">Items</w:t>
            </w:r>
          </w:p>
        </w:tc>
        <w:tc>
          <w:tcPr/>
          <w:p w:rsidR="00000000" w:rsidDel="00000000" w:rsidP="00000000" w:rsidRDefault="00000000" w:rsidRPr="00000000" w14:paraId="00000012">
            <w:pPr>
              <w:jc w:val="center"/>
              <w:rPr>
                <w:rFonts w:ascii="Calibri" w:cs="Calibri" w:eastAsia="Calibri" w:hAnsi="Calibri"/>
                <w:b w:val="1"/>
              </w:rPr>
            </w:pPr>
            <w:r w:rsidDel="00000000" w:rsidR="00000000" w:rsidRPr="00000000">
              <w:rPr>
                <w:rFonts w:ascii="Calibri" w:cs="Calibri" w:eastAsia="Calibri" w:hAnsi="Calibri"/>
                <w:b w:val="1"/>
                <w:rtl w:val="0"/>
              </w:rPr>
              <w:t xml:space="preserve">Strategic Goals*</w:t>
            </w:r>
          </w:p>
        </w:tc>
        <w:tc>
          <w:tcPr/>
          <w:p w:rsidR="00000000" w:rsidDel="00000000" w:rsidP="00000000" w:rsidRDefault="00000000" w:rsidRPr="00000000" w14:paraId="00000013">
            <w:pPr>
              <w:jc w:val="center"/>
              <w:rPr>
                <w:rFonts w:ascii="Calibri" w:cs="Calibri" w:eastAsia="Calibri" w:hAnsi="Calibri"/>
                <w:b w:val="1"/>
              </w:rPr>
            </w:pPr>
            <w:r w:rsidDel="00000000" w:rsidR="00000000" w:rsidRPr="00000000">
              <w:rPr>
                <w:rFonts w:ascii="Calibri" w:cs="Calibri" w:eastAsia="Calibri" w:hAnsi="Calibri"/>
                <w:b w:val="1"/>
                <w:rtl w:val="0"/>
              </w:rPr>
              <w:t xml:space="preserve">Accreditation Standards**</w:t>
            </w:r>
          </w:p>
        </w:tc>
        <w:tc>
          <w:tcPr/>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Initiator</w:t>
            </w:r>
          </w:p>
        </w:tc>
      </w:tr>
      <w:tr>
        <w:trPr>
          <w:cantSplit w:val="0"/>
          <w:tblHeader w:val="0"/>
        </w:trPr>
        <w:tc>
          <w:tcPr/>
          <w:p w:rsidR="00000000" w:rsidDel="00000000" w:rsidP="00000000" w:rsidRDefault="00000000" w:rsidRPr="00000000" w14:paraId="00000015">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Becoming student- ready:  Understanding Miramar College’s Equity Plan (30 min)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 Julian introduces the Student Equity Plan Data Dashboard:  </w:t>
            </w:r>
            <w:hyperlink r:id="rId10">
              <w:r w:rsidDel="00000000" w:rsidR="00000000" w:rsidRPr="00000000">
                <w:rPr>
                  <w:rFonts w:ascii="Calibri" w:cs="Calibri" w:eastAsia="Calibri" w:hAnsi="Calibri"/>
                  <w:color w:val="1155cc"/>
                  <w:u w:val="single"/>
                  <w:rtl w:val="0"/>
                </w:rPr>
                <w:t xml:space="preserve">https://public.tableau.com/app/profile/miramar.research/viz/DI2022-2025/CoverPage</w:t>
              </w:r>
            </w:hyperlink>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There are five metrics connected to the equity plan.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 Julian explains the Disproportionate Impact (DI) section of the dashboard.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PPG-1 methodology is used to calculate DI.</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 Julian says DI data might not reflect our students.  For example, LGBTQIA+ students are not comfortable in self-identifying and so that data is not captured.  The dashboard is a starting point of our conversation.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 Julian says that workgroups of campus stakeholders will write the Student Equity Plan.  The plan needs to get Board approval by October.  The workgroups will start this summer.  Each workgroup will have a lead and will use a template.  Campus environment has changed since the last equity plan.   </w:t>
            </w:r>
            <w:r w:rsidDel="00000000" w:rsidR="00000000" w:rsidRPr="00000000">
              <w:rPr>
                <w:rtl w:val="0"/>
              </w:rPr>
            </w:r>
          </w:p>
        </w:tc>
        <w:tc>
          <w:tcPr/>
          <w:p w:rsidR="00000000" w:rsidDel="00000000" w:rsidP="00000000" w:rsidRDefault="00000000" w:rsidRPr="00000000" w14:paraId="0000001D">
            <w:pPr>
              <w:jc w:val="center"/>
              <w:rPr>
                <w:rFonts w:ascii="Calibri" w:cs="Calibri" w:eastAsia="Calibri" w:hAnsi="Calibri"/>
              </w:rPr>
            </w:pPr>
            <w:r w:rsidDel="00000000" w:rsidR="00000000" w:rsidRPr="00000000">
              <w:rPr>
                <w:rFonts w:ascii="Calibri" w:cs="Calibri" w:eastAsia="Calibri" w:hAnsi="Calibri"/>
                <w:rtl w:val="0"/>
              </w:rPr>
              <w:t xml:space="preserve">I, II, III, V</w:t>
            </w:r>
          </w:p>
        </w:tc>
        <w:tc>
          <w:tcPr/>
          <w:p w:rsidR="00000000" w:rsidDel="00000000" w:rsidP="00000000" w:rsidRDefault="00000000" w:rsidRPr="00000000" w14:paraId="0000001E">
            <w:pPr>
              <w:jc w:val="center"/>
              <w:rPr>
                <w:rFonts w:ascii="Calibri" w:cs="Calibri" w:eastAsia="Calibri" w:hAnsi="Calibri"/>
              </w:rPr>
            </w:pPr>
            <w:r w:rsidDel="00000000" w:rsidR="00000000" w:rsidRPr="00000000">
              <w:rPr>
                <w:rFonts w:ascii="Calibri" w:cs="Calibri" w:eastAsia="Calibri" w:hAnsi="Calibri"/>
                <w:rtl w:val="0"/>
              </w:rPr>
              <w:t xml:space="preserve">I, II, IV</w:t>
            </w:r>
          </w:p>
        </w:tc>
        <w:tc>
          <w:tcPr/>
          <w:p w:rsidR="00000000" w:rsidDel="00000000" w:rsidP="00000000" w:rsidRDefault="00000000" w:rsidRPr="00000000" w14:paraId="0000001F">
            <w:pPr>
              <w:jc w:val="center"/>
              <w:rPr>
                <w:rFonts w:ascii="Calibri" w:cs="Calibri" w:eastAsia="Calibri" w:hAnsi="Calibri"/>
              </w:rPr>
            </w:pPr>
            <w:r w:rsidDel="00000000" w:rsidR="00000000" w:rsidRPr="00000000">
              <w:rPr>
                <w:rFonts w:ascii="Calibri" w:cs="Calibri" w:eastAsia="Calibri" w:hAnsi="Calibri"/>
                <w:rtl w:val="0"/>
              </w:rPr>
              <w:t xml:space="preserve">N. Julian</w:t>
            </w:r>
          </w:p>
        </w:tc>
      </w:tr>
      <w:tr>
        <w:trPr>
          <w:cantSplit w:val="0"/>
          <w:tblHeader w:val="0"/>
        </w:trPr>
        <w:tc>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Fall 2022 meetings, new member - I. Martin represents Counseling.  Approval of Fall 2022 meetings:  D. Tran (1st), I. Martin (2nd)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      September 2, 2022, 1:00 p.m.-2:00 p.m.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      October 7, 2022, 1:00 p.m.-2:00 p.m.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      November 4, 2022, 1:00 p.m.-2:00 p.m.</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      December 2, 2022, 1:00 p.m.-2:00 p.m.</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                   (all locations TBD)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(5 min)</w:t>
            </w:r>
          </w:p>
        </w:tc>
        <w:tc>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I, II, III, V</w:t>
            </w:r>
          </w:p>
        </w:tc>
        <w:tc>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I, II, IV</w:t>
            </w:r>
          </w:p>
        </w:tc>
        <w:tc>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D. Tran</w:t>
            </w:r>
          </w:p>
        </w:tc>
      </w:tr>
      <w:tr>
        <w:trPr>
          <w:cantSplit w:val="0"/>
          <w:tblHeader w:val="0"/>
        </w:trPr>
        <w:tc>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Announcements (</w:t>
            </w: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rPr>
            </w:pPr>
            <w:r w:rsidDel="00000000" w:rsidR="00000000" w:rsidRPr="00000000">
              <w:rPr>
                <w:rFonts w:ascii="Calibri" w:cs="Calibri" w:eastAsia="Calibri" w:hAnsi="Calibri"/>
                <w:rtl w:val="0"/>
              </w:rPr>
              <w:t xml:space="preserve">D. Tran shares the upcoming Study Jam.</w:t>
            </w:r>
          </w:p>
        </w:tc>
        <w:tc>
          <w:tcPr/>
          <w:p w:rsidR="00000000" w:rsidDel="00000000" w:rsidP="00000000" w:rsidRDefault="00000000" w:rsidRPr="00000000" w14:paraId="0000002E">
            <w:pPr>
              <w:jc w:val="center"/>
              <w:rPr>
                <w:rFonts w:ascii="Calibri" w:cs="Calibri" w:eastAsia="Calibri" w:hAnsi="Calibri"/>
              </w:rPr>
            </w:pPr>
            <w:r w:rsidDel="00000000" w:rsidR="00000000" w:rsidRPr="00000000">
              <w:rPr>
                <w:rFonts w:ascii="Calibri" w:cs="Calibri" w:eastAsia="Calibri" w:hAnsi="Calibri"/>
                <w:rtl w:val="0"/>
              </w:rPr>
              <w:t xml:space="preserve">I, II, III, V</w:t>
            </w:r>
          </w:p>
        </w:tc>
        <w:tc>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I, II, IV</w:t>
            </w:r>
          </w:p>
        </w:tc>
        <w:tc>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All</w:t>
            </w:r>
          </w:p>
        </w:tc>
      </w:tr>
    </w:tbl>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Adjournment </w:t>
      </w:r>
      <w:r w:rsidDel="00000000" w:rsidR="00000000" w:rsidRPr="00000000">
        <w:rPr>
          <w:rFonts w:ascii="Calibri" w:cs="Calibri" w:eastAsia="Calibri" w:hAnsi="Calibri"/>
          <w:rtl w:val="0"/>
        </w:rPr>
        <w:t xml:space="preserve">(1:39 p.m.) - L. Lahera (1st), R. Cabrera (2nd)</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scheduled meeting:  Friday,</w:t>
      </w:r>
      <w:r w:rsidDel="00000000" w:rsidR="00000000" w:rsidRPr="00000000">
        <w:rPr>
          <w:rFonts w:ascii="Calibri" w:cs="Calibri" w:eastAsia="Calibri" w:hAnsi="Calibri"/>
          <w:rtl w:val="0"/>
        </w:rPr>
        <w:t xml:space="preserve"> September 2, 2022 (location TBD) - Zoom for all Fall 2022 meetings</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6689725" cy="90142"/>
                <wp:effectExtent b="0" l="0" r="0" t="0"/>
                <wp:wrapNone/>
                <wp:docPr id="20" name=""/>
                <a:graphic>
                  <a:graphicData uri="http://schemas.microsoft.com/office/word/2010/wordprocessingShape">
                    <wps:wsp>
                      <wps:cNvCnPr/>
                      <wps:spPr>
                        <a:xfrm>
                          <a:off x="2141700" y="3771750"/>
                          <a:ext cx="6408600" cy="1650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6689725" cy="90142"/>
                <wp:effectExtent b="0" l="0" r="0" t="0"/>
                <wp:wrapNone/>
                <wp:docPr id="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689725" cy="90142"/>
                        </a:xfrm>
                        <a:prstGeom prst="rect"/>
                        <a:ln/>
                      </pic:spPr>
                    </pic:pic>
                  </a:graphicData>
                </a:graphic>
              </wp:anchor>
            </w:drawing>
          </mc:Fallback>
        </mc:AlternateContent>
      </w:r>
    </w:p>
    <w:p w:rsidR="00000000" w:rsidDel="00000000" w:rsidP="00000000" w:rsidRDefault="00000000" w:rsidRPr="00000000" w14:paraId="00000036">
      <w:pPr>
        <w:rPr>
          <w:rFonts w:ascii="Calibri" w:cs="Calibri" w:eastAsia="Calibri" w:hAnsi="Calibri"/>
          <w:b w:val="1"/>
          <w:color w:val="0b16f3"/>
          <w:sz w:val="16"/>
          <w:szCs w:val="16"/>
          <w:u w:val="single"/>
        </w:rPr>
      </w:pPr>
      <w:r w:rsidDel="00000000" w:rsidR="00000000" w:rsidRPr="00000000">
        <w:rPr>
          <w:rFonts w:ascii="Calibri" w:cs="Calibri" w:eastAsia="Calibri" w:hAnsi="Calibri"/>
          <w:color w:val="0b16f3"/>
          <w:sz w:val="16"/>
          <w:szCs w:val="16"/>
          <w:rtl w:val="0"/>
        </w:rPr>
        <w:t xml:space="preserve">*</w:t>
      </w:r>
      <w:r w:rsidDel="00000000" w:rsidR="00000000" w:rsidRPr="00000000">
        <w:rPr>
          <w:rFonts w:ascii="Calibri" w:cs="Calibri" w:eastAsia="Calibri" w:hAnsi="Calibri"/>
          <w:b w:val="1"/>
          <w:color w:val="0b16f3"/>
          <w:sz w:val="16"/>
          <w:szCs w:val="16"/>
          <w:rtl w:val="0"/>
        </w:rPr>
        <w:t xml:space="preserve">San Diego Miramar College Strategic Goals Fall 2020-Spring 2027</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Pathways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Provide student-centered pathways that are responsive to change and focus on student learning, equity, and success.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Engagement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Enhance the college experience by providing student-centered programs, services, and activities that close achievement gaps, engage students, and remove barriers to their success.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Organizational Health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Strengthen Institutional Effectiveness through planning, outcomes assessment, and program review processes in efforts to enhance data-informed decision making.</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Relationship Cultivation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Build and sustain a college culture that strengthens participatory governance, diversity, inclusion, and community partnerships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6"/>
          <w:szCs w:val="16"/>
        </w:rPr>
      </w:pPr>
      <w:r w:rsidDel="00000000" w:rsidR="00000000" w:rsidRPr="00000000">
        <w:rPr>
          <w:rFonts w:ascii="Calibri" w:cs="Calibri" w:eastAsia="Calibri" w:hAnsi="Calibri"/>
          <w:b w:val="1"/>
          <w:color w:val="002060"/>
          <w:sz w:val="16"/>
          <w:szCs w:val="16"/>
          <w:rtl w:val="0"/>
        </w:rPr>
        <w:t xml:space="preserve">Diversity, Equity, and Inclusion (DEI)</w:t>
      </w:r>
      <w:r w:rsidDel="00000000" w:rsidR="00000000" w:rsidRPr="00000000">
        <w:rPr>
          <w:rFonts w:ascii="Calibri" w:cs="Calibri" w:eastAsia="Calibri" w:hAnsi="Calibri"/>
          <w:color w:val="002060"/>
          <w:sz w:val="16"/>
          <w:szCs w:val="16"/>
          <w:rtl w:val="0"/>
        </w:rPr>
        <w:t xml:space="preserve"> - Build an environment that embraces diversity, equity,</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color w:val="002060"/>
          <w:sz w:val="16"/>
          <w:szCs w:val="16"/>
        </w:rPr>
      </w:pPr>
      <w:r w:rsidDel="00000000" w:rsidR="00000000" w:rsidRPr="00000000">
        <w:rPr>
          <w:rFonts w:ascii="Calibri" w:cs="Calibri" w:eastAsia="Calibri" w:hAnsi="Calibri"/>
          <w:color w:val="002060"/>
          <w:sz w:val="16"/>
          <w:szCs w:val="16"/>
          <w:rtl w:val="0"/>
        </w:rPr>
        <w:t xml:space="preserve">inclusion, anti-racism, and social justice for the benefit of the college community.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16"/>
          <w:szCs w:val="16"/>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0000ff"/>
          <w:sz w:val="16"/>
          <w:szCs w:val="16"/>
          <w:u w:val="single"/>
        </w:rPr>
      </w:pPr>
      <w:r w:rsidDel="00000000" w:rsidR="00000000" w:rsidRPr="00000000">
        <w:rPr>
          <w:rFonts w:ascii="Calibri" w:cs="Calibri" w:eastAsia="Calibri" w:hAnsi="Calibri"/>
          <w:color w:val="002060"/>
          <w:sz w:val="16"/>
          <w:szCs w:val="16"/>
          <w:rtl w:val="0"/>
        </w:rPr>
        <w:t xml:space="preserve">** </w:t>
      </w:r>
      <w:hyperlink r:id="rId12">
        <w:r w:rsidDel="00000000" w:rsidR="00000000" w:rsidRPr="00000000">
          <w:rPr>
            <w:rFonts w:ascii="Calibri" w:cs="Calibri" w:eastAsia="Calibri" w:hAnsi="Calibri"/>
            <w:b w:val="1"/>
            <w:color w:val="0000ff"/>
            <w:sz w:val="16"/>
            <w:szCs w:val="16"/>
            <w:u w:val="single"/>
            <w:rtl w:val="0"/>
          </w:rPr>
          <w:t xml:space="preserve">ACCJC Accreditation Standards (Adopted June 2014)</w:t>
        </w:r>
      </w:hyperlink>
      <w:r w:rsidDel="00000000" w:rsidR="00000000" w:rsidRPr="00000000">
        <w:rPr>
          <w:rtl w:val="0"/>
        </w:rPr>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Mission, Academic Quality and Instructional Effectiveness, and Integrity</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Student Learning Programs and Support Services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Resources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Leadership and Governance</w:t>
      </w:r>
      <w:r w:rsidDel="00000000" w:rsidR="00000000" w:rsidRPr="00000000">
        <w:rPr>
          <w:rtl w:val="0"/>
        </w:rPr>
      </w:r>
    </w:p>
    <w:p w:rsidR="00000000" w:rsidDel="00000000" w:rsidP="00000000" w:rsidRDefault="00000000" w:rsidRPr="00000000" w14:paraId="00000043">
      <w:pPr>
        <w:rPr>
          <w:rFonts w:ascii="Calibri" w:cs="Calibri" w:eastAsia="Calibri" w:hAnsi="Calibri"/>
          <w:color w:val="000000"/>
          <w:sz w:val="16"/>
          <w:szCs w:val="16"/>
          <w:u w:val="single"/>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sz w:val="16"/>
          <w:szCs w:val="16"/>
        </w:rPr>
      </w:pPr>
      <w:bookmarkStart w:colFirst="0" w:colLast="0" w:name="_heading=h.gjdgxs" w:id="0"/>
      <w:bookmarkEnd w:id="0"/>
      <w:r w:rsidDel="00000000" w:rsidR="00000000" w:rsidRPr="00000000">
        <w:rPr>
          <w:rFonts w:ascii="Calibri" w:cs="Calibri" w:eastAsia="Calibri" w:hAnsi="Calibri"/>
          <w:color w:val="000000"/>
          <w:sz w:val="16"/>
          <w:szCs w:val="16"/>
          <w:u w:val="none"/>
          <w:rtl w:val="0"/>
        </w:rPr>
        <w:t xml:space="preserve">Web Page Links to </w:t>
      </w:r>
      <w:hyperlink r:id="rId13">
        <w:r w:rsidDel="00000000" w:rsidR="00000000" w:rsidRPr="00000000">
          <w:rPr>
            <w:rFonts w:ascii="Calibri" w:cs="Calibri" w:eastAsia="Calibri" w:hAnsi="Calibri"/>
            <w:b w:val="1"/>
            <w:color w:val="0000ff"/>
            <w:sz w:val="16"/>
            <w:szCs w:val="16"/>
            <w:u w:val="single"/>
            <w:rtl w:val="0"/>
          </w:rPr>
          <w:t xml:space="preserve">Academic Success Center</w:t>
        </w:r>
      </w:hyperlink>
      <w:r w:rsidDel="00000000" w:rsidR="00000000" w:rsidRPr="00000000">
        <w:rPr>
          <w:rFonts w:ascii="Calibri" w:cs="Calibri" w:eastAsia="Calibri" w:hAnsi="Calibri"/>
          <w:color w:val="000000"/>
          <w:sz w:val="16"/>
          <w:szCs w:val="16"/>
          <w:u w:val="none"/>
          <w:rtl w:val="0"/>
        </w:rPr>
        <w:t xml:space="preserve"> and </w:t>
      </w:r>
      <w:hyperlink r:id="rId14">
        <w:r w:rsidDel="00000000" w:rsidR="00000000" w:rsidRPr="00000000">
          <w:rPr>
            <w:rFonts w:ascii="Calibri" w:cs="Calibri" w:eastAsia="Calibri" w:hAnsi="Calibri"/>
            <w:b w:val="1"/>
            <w:color w:val="1155cc"/>
            <w:sz w:val="16"/>
            <w:szCs w:val="16"/>
            <w:u w:val="single"/>
            <w:rtl w:val="0"/>
          </w:rPr>
          <w:t xml:space="preserve">Academic Success Committee</w:t>
        </w:r>
      </w:hyperlink>
      <w:r w:rsidDel="00000000" w:rsidR="00000000" w:rsidRPr="00000000">
        <w:rPr>
          <w:rtl w:val="0"/>
        </w:rPr>
      </w:r>
    </w:p>
    <w:sectPr>
      <w:pgSz w:h="15840" w:w="12240" w:orient="portrait"/>
      <w:pgMar w:bottom="720" w:top="81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F405D"/>
    <w:pPr>
      <w:ind w:left="720"/>
      <w:contextualSpacing w:val="1"/>
    </w:pPr>
  </w:style>
  <w:style w:type="table" w:styleId="TableGrid">
    <w:name w:val="Table Grid"/>
    <w:basedOn w:val="TableNormal"/>
    <w:uiPriority w:val="59"/>
    <w:rsid w:val="00BA48D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4E7C15"/>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4E7C15"/>
    <w:rPr>
      <w:color w:val="0000ff"/>
      <w:u w:val="single"/>
    </w:rPr>
  </w:style>
  <w:style w:type="paragraph" w:styleId="BalloonText">
    <w:name w:val="Balloon Text"/>
    <w:basedOn w:val="Normal"/>
    <w:link w:val="BalloonTextChar"/>
    <w:uiPriority w:val="99"/>
    <w:semiHidden w:val="1"/>
    <w:unhideWhenUsed w:val="1"/>
    <w:rsid w:val="0046639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6639B"/>
    <w:rPr>
      <w:rFonts w:ascii="Tahoma" w:cs="Tahoma" w:hAnsi="Tahoma"/>
      <w:sz w:val="16"/>
      <w:szCs w:val="16"/>
    </w:rPr>
  </w:style>
  <w:style w:type="character" w:styleId="rwrro" w:customStyle="1">
    <w:name w:val="rwrro"/>
    <w:basedOn w:val="DefaultParagraphFont"/>
    <w:rsid w:val="003E4AEB"/>
  </w:style>
  <w:style w:type="character" w:styleId="nowrap" w:customStyle="1">
    <w:name w:val="nowrap"/>
    <w:basedOn w:val="DefaultParagraphFont"/>
    <w:rsid w:val="003E4AEB"/>
  </w:style>
  <w:style w:type="character" w:styleId="FollowedHyperlink">
    <w:name w:val="FollowedHyperlink"/>
    <w:basedOn w:val="DefaultParagraphFont"/>
    <w:uiPriority w:val="99"/>
    <w:semiHidden w:val="1"/>
    <w:unhideWhenUsed w:val="1"/>
    <w:rsid w:val="0074521A"/>
    <w:rPr>
      <w:color w:val="800080" w:themeColor="followedHyperlink"/>
      <w:u w:val="single"/>
    </w:rPr>
  </w:style>
  <w:style w:type="character" w:styleId="UnresolvedMention">
    <w:name w:val="Unresolved Mention"/>
    <w:basedOn w:val="DefaultParagraphFont"/>
    <w:uiPriority w:val="99"/>
    <w:semiHidden w:val="1"/>
    <w:unhideWhenUsed w:val="1"/>
    <w:rsid w:val="006A21E1"/>
    <w:rPr>
      <w:color w:val="605e5c"/>
      <w:shd w:color="auto" w:fill="e1dfdd" w:val="clear"/>
    </w:rPr>
  </w:style>
  <w:style w:type="character" w:styleId="Strong">
    <w:name w:val="Strong"/>
    <w:basedOn w:val="DefaultParagraphFont"/>
    <w:uiPriority w:val="22"/>
    <w:qFormat w:val="1"/>
    <w:rsid w:val="00F9296E"/>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public.tableau.com/app/profile/miramar.research/viz/DI2022-2025/CoverPage" TargetMode="External"/><Relationship Id="rId13" Type="http://schemas.openxmlformats.org/officeDocument/2006/relationships/hyperlink" Target="http://www.sdmiramar.edu/campus/asc" TargetMode="External"/><Relationship Id="rId12" Type="http://schemas.openxmlformats.org/officeDocument/2006/relationships/hyperlink" Target="http://www.sdmiramar.edu/evidence/San%20Diego%20Miramar%20College%20SER%20Onlin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ZX2yDmYprLYM0sCu7ZtOgcgC0rz8ypcw/view?usp=sharing" TargetMode="External"/><Relationship Id="rId14" Type="http://schemas.openxmlformats.org/officeDocument/2006/relationships/hyperlink" Target="https://sdmiramar.edu/governance/committees/academic-success-committ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761017864?pwd=eGZhOWtaMFlYbnkvQ2ZvU3F1cFpwdz09"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7G8bciVCyRcLd3YLdSvS5lJCsA==">AMUW2mXBK1Myi3nbOSmuQswFwGwIZcw0wtJmn1dDlbEtJ9chxMBuuMLeo5dNHnRHgEqWJv4N8qLuz9eymMwVREf9K2zrhOBwFM8SrQ10jHnVuIRrtzjWLTdV8jwIUeZasSqoZxWMC4iq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2019-11-14T22:24:00Z</dcterms:created>
  <dc:creator>test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-838360864</vt:i4>
  </property>
  <property fmtid="{D5CDD505-2E9C-101B-9397-08002B2CF9AE}" pid="3" name="_NewReviewCycle">
    <vt:lpwstr/>
  </property>
  <property fmtid="{D5CDD505-2E9C-101B-9397-08002B2CF9AE}" pid="4" name="_EmailSubject">
    <vt:lpwstr>ASC thingys</vt:lpwstr>
  </property>
  <property fmtid="{D5CDD505-2E9C-101B-9397-08002B2CF9AE}" pid="5" name="_AuthorEmail">
    <vt:lpwstr>mmcmahon@sdccd.edu</vt:lpwstr>
  </property>
  <property fmtid="{D5CDD505-2E9C-101B-9397-08002B2CF9AE}" pid="6" name="_AuthorEmailDisplayName">
    <vt:lpwstr>Marie Mc Mahon</vt:lpwstr>
  </property>
  <property fmtid="{D5CDD505-2E9C-101B-9397-08002B2CF9AE}" pid="7" name="_PreviousAdHocReviewCycleID">
    <vt:i4>88796371</vt:i4>
  </property>
  <property fmtid="{D5CDD505-2E9C-101B-9397-08002B2CF9AE}" pid="8" name="_ReviewingToolsShownOnce">
    <vt:lpwstr/>
  </property>
</Properties>
</file>