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01" w:rsidRDefault="00311101" w:rsidP="00311101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311101">
        <w:rPr>
          <w:rFonts w:ascii="Palatino Linotype" w:hAnsi="Palatino Linotype"/>
          <w:b/>
        </w:rPr>
        <w:t>Brown Act</w:t>
      </w:r>
    </w:p>
    <w:p w:rsidR="00311101" w:rsidRDefault="00311101" w:rsidP="00311101">
      <w:pPr>
        <w:jc w:val="center"/>
        <w:rPr>
          <w:rFonts w:ascii="Palatino Linotype" w:hAnsi="Palatino Linotype"/>
        </w:rPr>
      </w:pPr>
      <w:r w:rsidRPr="00311101">
        <w:rPr>
          <w:rFonts w:ascii="Palatino Linotype" w:hAnsi="Palatino Linotype"/>
          <w:b/>
        </w:rPr>
        <w:t>Key Points</w:t>
      </w:r>
      <w:r>
        <w:rPr>
          <w:rFonts w:ascii="Palatino Linotype" w:hAnsi="Palatino Linotype"/>
          <w:b/>
        </w:rPr>
        <w:t xml:space="preserve"> – San Diego Miramar College</w:t>
      </w:r>
    </w:p>
    <w:p w:rsidR="00311101" w:rsidRDefault="00311101" w:rsidP="00311101">
      <w:pPr>
        <w:rPr>
          <w:rFonts w:ascii="Palatino Linotype" w:hAnsi="Palatino Linotype"/>
        </w:rPr>
      </w:pP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Goal of the Brown Act is to promote transparency and public trust through public access to meetings, public attendance and participation in meetings, and open deliberations and action. </w:t>
      </w: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Meetings must be open to the public and be conducted in a facility that does not exclude persons </w:t>
      </w:r>
      <w:proofErr w:type="gramStart"/>
      <w:r>
        <w:rPr>
          <w:rFonts w:ascii="Palatino Linotype" w:hAnsi="Palatino Linotype"/>
        </w:rPr>
        <w:t>on the basis of</w:t>
      </w:r>
      <w:proofErr w:type="gramEnd"/>
      <w:r>
        <w:rPr>
          <w:rFonts w:ascii="Palatino Linotype" w:hAnsi="Palatino Linotype"/>
        </w:rPr>
        <w:t xml:space="preserve"> race, religion, color, national origin, ancestry, or sex, or that is inaccessible to disable persons, or where members of the public may not be present without making a payment or purchase.</w:t>
      </w: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Any recordings of meetings </w:t>
      </w:r>
      <w:proofErr w:type="gramStart"/>
      <w:r>
        <w:rPr>
          <w:rFonts w:ascii="Palatino Linotype" w:hAnsi="Palatino Linotype"/>
        </w:rPr>
        <w:t>must be made</w:t>
      </w:r>
      <w:proofErr w:type="gramEnd"/>
      <w:r>
        <w:rPr>
          <w:rFonts w:ascii="Palatino Linotype" w:hAnsi="Palatino Linotype"/>
        </w:rPr>
        <w:t xml:space="preserve"> available at cost. Recording of meeting is not required; this applies where recordings </w:t>
      </w:r>
      <w:proofErr w:type="gramStart"/>
      <w:r>
        <w:rPr>
          <w:rFonts w:ascii="Palatino Linotype" w:hAnsi="Palatino Linotype"/>
        </w:rPr>
        <w:t>are made</w:t>
      </w:r>
      <w:proofErr w:type="gramEnd"/>
      <w:r>
        <w:rPr>
          <w:rFonts w:ascii="Palatino Linotype" w:hAnsi="Palatino Linotype"/>
        </w:rPr>
        <w:t>.</w:t>
      </w: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All votes are to </w:t>
      </w:r>
      <w:proofErr w:type="gramStart"/>
      <w:r>
        <w:rPr>
          <w:rFonts w:ascii="Palatino Linotype" w:hAnsi="Palatino Linotype"/>
        </w:rPr>
        <w:t>be cast</w:t>
      </w:r>
      <w:proofErr w:type="gramEnd"/>
      <w:r>
        <w:rPr>
          <w:rFonts w:ascii="Palatino Linotype" w:hAnsi="Palatino Linotype"/>
        </w:rPr>
        <w:t xml:space="preserve"> in public; no “secret” voting is permitted.</w:t>
      </w:r>
    </w:p>
    <w:p w:rsidR="00311101" w:rsidRDefault="00311101" w:rsidP="00311101">
      <w:pPr>
        <w:numPr>
          <w:ilvl w:val="0"/>
          <w:numId w:val="1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A written agenda must be prepared for each regular or adjourned regular meeting of the legislative body and include a brief general description of each item to be discussed (not to exceed 20 words) and provide an opportunity for public comment. </w:t>
      </w:r>
    </w:p>
    <w:p w:rsidR="00311101" w:rsidRDefault="00311101" w:rsidP="00311101">
      <w:pPr>
        <w:numPr>
          <w:ilvl w:val="0"/>
          <w:numId w:val="1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The agenda </w:t>
      </w:r>
      <w:proofErr w:type="gramStart"/>
      <w:r>
        <w:rPr>
          <w:rFonts w:ascii="Palatino Linotype" w:eastAsia="Times New Roman" w:hAnsi="Palatino Linotype"/>
        </w:rPr>
        <w:t>must be posted</w:t>
      </w:r>
      <w:proofErr w:type="gramEnd"/>
      <w:r>
        <w:rPr>
          <w:rFonts w:ascii="Palatino Linotype" w:eastAsia="Times New Roman" w:hAnsi="Palatino Linotype"/>
        </w:rPr>
        <w:t xml:space="preserve"> on the website of the legislative body, if it has one. </w:t>
      </w: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Agenda for meetings </w:t>
      </w:r>
      <w:proofErr w:type="gramStart"/>
      <w:r>
        <w:rPr>
          <w:rFonts w:ascii="Palatino Linotype" w:hAnsi="Palatino Linotype"/>
        </w:rPr>
        <w:t>must be posted</w:t>
      </w:r>
      <w:proofErr w:type="gramEnd"/>
      <w:r>
        <w:rPr>
          <w:rFonts w:ascii="Palatino Linotype" w:hAnsi="Palatino Linotype"/>
        </w:rPr>
        <w:t xml:space="preserve"> at least 72 hours prior to the meeting, along with the time and place of the meeting. </w:t>
      </w: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public has the right to review agendas and other writings distributed to a majority. Writings distributed during a meeting </w:t>
      </w:r>
      <w:proofErr w:type="gramStart"/>
      <w:r>
        <w:rPr>
          <w:rFonts w:ascii="Palatino Linotype" w:hAnsi="Palatino Linotype"/>
        </w:rPr>
        <w:t>must be made</w:t>
      </w:r>
      <w:proofErr w:type="gramEnd"/>
      <w:r>
        <w:rPr>
          <w:rFonts w:ascii="Palatino Linotype" w:hAnsi="Palatino Linotype"/>
        </w:rPr>
        <w:t xml:space="preserve"> available for at or after the meeting. </w:t>
      </w:r>
    </w:p>
    <w:p w:rsidR="00311101" w:rsidRDefault="00311101" w:rsidP="0031110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special meetings, 24 hours’ notice </w:t>
      </w:r>
      <w:proofErr w:type="gramStart"/>
      <w:r>
        <w:rPr>
          <w:rFonts w:ascii="Palatino Linotype" w:hAnsi="Palatino Linotype"/>
        </w:rPr>
        <w:t>must be provided</w:t>
      </w:r>
      <w:proofErr w:type="gramEnd"/>
      <w:r>
        <w:rPr>
          <w:rFonts w:ascii="Palatino Linotype" w:hAnsi="Palatino Linotype"/>
        </w:rPr>
        <w:t xml:space="preserve"> along with a brief description of matters to be considered or discussed.</w:t>
      </w:r>
    </w:p>
    <w:p w:rsidR="00311101" w:rsidRDefault="00311101" w:rsidP="00311101">
      <w:pPr>
        <w:rPr>
          <w:rFonts w:ascii="Palatino Linotype" w:hAnsi="Palatino Linotype"/>
        </w:rPr>
      </w:pPr>
    </w:p>
    <w:p w:rsidR="00311101" w:rsidRDefault="00311101" w:rsidP="003111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Brown Act (California Attorney General’s Office):</w:t>
      </w:r>
    </w:p>
    <w:p w:rsidR="00311101" w:rsidRDefault="00311101" w:rsidP="00311101">
      <w:pPr>
        <w:rPr>
          <w:rFonts w:ascii="Palatino Linotype" w:hAnsi="Palatino Linotype"/>
        </w:rPr>
      </w:pPr>
      <w:hyperlink r:id="rId5" w:history="1">
        <w:r>
          <w:rPr>
            <w:rStyle w:val="Hyperlink"/>
            <w:rFonts w:ascii="Palatino Linotype" w:hAnsi="Palatino Linotype"/>
          </w:rPr>
          <w:t>https://oag.ca.gov/sites/all/files/agweb/pdfs/publications/brownAct2003.pdf</w:t>
        </w:r>
      </w:hyperlink>
    </w:p>
    <w:p w:rsidR="00311101" w:rsidRDefault="00311101" w:rsidP="00311101">
      <w:pPr>
        <w:rPr>
          <w:rFonts w:ascii="Palatino Linotype" w:hAnsi="Palatino Linotype"/>
        </w:rPr>
      </w:pPr>
    </w:p>
    <w:p w:rsidR="00311101" w:rsidRDefault="00311101" w:rsidP="003111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primer on the Brown Act from the First Amendment Coalition:</w:t>
      </w:r>
    </w:p>
    <w:p w:rsidR="004E5F0F" w:rsidRDefault="00311101" w:rsidP="00311101">
      <w:hyperlink r:id="rId6" w:history="1">
        <w:r>
          <w:rPr>
            <w:rStyle w:val="Hyperlink"/>
            <w:rFonts w:ascii="Palatino Linotype" w:hAnsi="Palatino Linotype"/>
          </w:rPr>
          <w:t>https://firstamendmentcoalition.org/facs-brown-act-primer/</w:t>
        </w:r>
      </w:hyperlink>
    </w:p>
    <w:sectPr w:rsidR="004E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48D3"/>
    <w:multiLevelType w:val="hybridMultilevel"/>
    <w:tmpl w:val="199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C"/>
    <w:rsid w:val="00311101"/>
    <w:rsid w:val="004E5F0F"/>
    <w:rsid w:val="005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8E66"/>
  <w15:chartTrackingRefBased/>
  <w15:docId w15:val="{28700F03-2F83-4268-9126-7F91E8D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1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1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stamendmentcoalition.org/facs-brown-act-primer/" TargetMode="External"/><Relationship Id="rId5" Type="http://schemas.openxmlformats.org/officeDocument/2006/relationships/hyperlink" Target="https://oag.ca.gov/sites/all/files/agweb/pdfs/publications/brownAct2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Kunst</dc:creator>
  <cp:keywords/>
  <dc:description/>
  <cp:lastModifiedBy>Malia Kunst</cp:lastModifiedBy>
  <cp:revision>2</cp:revision>
  <dcterms:created xsi:type="dcterms:W3CDTF">2021-10-26T15:39:00Z</dcterms:created>
  <dcterms:modified xsi:type="dcterms:W3CDTF">2021-10-26T15:41:00Z</dcterms:modified>
</cp:coreProperties>
</file>