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666C" w14:textId="015C2ABB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150036" wp14:editId="716FFFB0">
            <wp:simplePos x="0" y="0"/>
            <wp:positionH relativeFrom="margin">
              <wp:posOffset>5619750</wp:posOffset>
            </wp:positionH>
            <wp:positionV relativeFrom="paragraph">
              <wp:posOffset>-409575</wp:posOffset>
            </wp:positionV>
            <wp:extent cx="1438275" cy="1438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720" cy="14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76F36200" w14:textId="67434A07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 MEETING AGENDA</w:t>
      </w:r>
    </w:p>
    <w:p w14:paraId="52433123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3452CCF0" w14:textId="2FDF7671" w:rsidR="00C83A17" w:rsidRPr="00801EAA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 xml:space="preserve">: Nov. </w:t>
      </w:r>
      <w:r w:rsidR="00813B86">
        <w:rPr>
          <w:rFonts w:ascii="Cambria" w:hAnsi="Cambria"/>
          <w:b/>
        </w:rPr>
        <w:t>16</w:t>
      </w:r>
      <w:r w:rsidR="00813B86">
        <w:rPr>
          <w:rFonts w:ascii="Cambria" w:hAnsi="Cambria"/>
          <w:b/>
          <w:vertAlign w:val="superscript"/>
        </w:rPr>
        <w:t>th</w:t>
      </w:r>
      <w:r w:rsidR="001356F8">
        <w:rPr>
          <w:rFonts w:ascii="Cambria" w:hAnsi="Cambria"/>
          <w:b/>
        </w:rPr>
        <w:t>, 2021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>: 11:00 AM – 12:00 PM</w:t>
      </w:r>
      <w:r>
        <w:rPr>
          <w:rFonts w:ascii="Cambria" w:hAnsi="Cambria"/>
          <w:b/>
        </w:rPr>
        <w:t xml:space="preserve">   LOCATION</w:t>
      </w:r>
      <w:r w:rsidR="001356F8">
        <w:rPr>
          <w:rFonts w:ascii="Cambria" w:hAnsi="Cambria"/>
          <w:b/>
        </w:rPr>
        <w:t>: Zoom</w:t>
      </w:r>
    </w:p>
    <w:p w14:paraId="678CE708" w14:textId="20671008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6DA3B9DB" w14:textId="4E4037BE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715E9" wp14:editId="6AE9B407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E4CB2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A29BBA6" w14:textId="4F35B9D0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126F9742" w14:textId="67A0E1BB" w:rsid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Officers and Senators</w:t>
      </w:r>
    </w:p>
    <w:p w14:paraId="2200B846" w14:textId="77777777" w:rsidR="003F0473" w:rsidRP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</w:p>
    <w:p w14:paraId="5B263096" w14:textId="15DC4350" w:rsidR="001A08D6" w:rsidRPr="003F0473" w:rsidRDefault="00084AC6" w:rsidP="003F0473">
      <w:pPr>
        <w:pStyle w:val="ListParagraph"/>
        <w:ind w:left="360"/>
        <w:jc w:val="center"/>
        <w:rPr>
          <w:rFonts w:ascii="Cambria" w:eastAsia="Batang" w:hAnsi="Cambria" w:cs="Arial"/>
          <w:bCs/>
          <w:sz w:val="22"/>
          <w:szCs w:val="20"/>
        </w:rPr>
      </w:pPr>
      <w:r w:rsidRPr="003F0473">
        <w:rPr>
          <w:rFonts w:ascii="Cambria" w:eastAsia="Batang" w:hAnsi="Cambria" w:cs="Arial"/>
          <w:bCs/>
          <w:sz w:val="22"/>
          <w:szCs w:val="20"/>
        </w:rPr>
        <w:t>Sean Young,</w:t>
      </w:r>
      <w:r w:rsidR="003F0473" w:rsidRPr="003F0473">
        <w:rPr>
          <w:rFonts w:ascii="Cambria" w:eastAsia="Batang" w:hAnsi="Cambria" w:cs="Arial"/>
          <w:bCs/>
          <w:sz w:val="22"/>
          <w:szCs w:val="20"/>
        </w:rPr>
        <w:t xml:space="preserve"> Val Sacro, Arnice Neff, Sandra Marquez, Bill Pacheco, Sam Shooshtary, Clarissa Padilla, Sharilyn Wilson, Jill Dela Cruz, Rachel Halligan, Calvin Le, Ryan Roper, Lezlie Allen, Jill Griggs, Anna Liza </w:t>
      </w:r>
      <w:proofErr w:type="gramStart"/>
      <w:r w:rsidR="003F0473" w:rsidRPr="003F0473">
        <w:rPr>
          <w:rFonts w:ascii="Cambria" w:eastAsia="Batang" w:hAnsi="Cambria" w:cs="Arial"/>
          <w:bCs/>
          <w:sz w:val="22"/>
          <w:szCs w:val="20"/>
        </w:rPr>
        <w:t>Manzo</w:t>
      </w:r>
      <w:r w:rsidR="00B0171D">
        <w:rPr>
          <w:rFonts w:ascii="Cambria" w:eastAsia="Batang" w:hAnsi="Cambria" w:cs="Arial"/>
          <w:bCs/>
          <w:sz w:val="22"/>
          <w:szCs w:val="20"/>
        </w:rPr>
        <w:t xml:space="preserve">,   </w:t>
      </w:r>
      <w:proofErr w:type="gramEnd"/>
      <w:r w:rsidR="00B0171D">
        <w:rPr>
          <w:rFonts w:ascii="Cambria" w:eastAsia="Batang" w:hAnsi="Cambria" w:cs="Arial"/>
          <w:bCs/>
          <w:sz w:val="22"/>
          <w:szCs w:val="20"/>
        </w:rPr>
        <w:t xml:space="preserve"> Jeanette Moore</w:t>
      </w:r>
    </w:p>
    <w:p w14:paraId="2D3A0344" w14:textId="259C193A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8B9A035" w14:textId="6A3C6AF9" w:rsidR="003F0473" w:rsidRDefault="001A08D6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2AE0B045" w14:textId="77777777" w:rsidR="003F0473" w:rsidRPr="003F0473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22"/>
          <w:szCs w:val="20"/>
          <w:u w:val="single"/>
        </w:rPr>
      </w:pPr>
    </w:p>
    <w:p w14:paraId="70809185" w14:textId="0E7ABD92" w:rsidR="001A08D6" w:rsidRPr="003F0473" w:rsidRDefault="00084AC6" w:rsidP="003F0473">
      <w:pPr>
        <w:pStyle w:val="ListParagraph"/>
        <w:ind w:left="360"/>
        <w:jc w:val="center"/>
        <w:rPr>
          <w:rFonts w:ascii="Cambria" w:eastAsia="Batang" w:hAnsi="Cambria" w:cs="Arial"/>
          <w:bCs/>
          <w:sz w:val="22"/>
          <w:szCs w:val="20"/>
        </w:rPr>
      </w:pPr>
      <w:r w:rsidRPr="003F0473">
        <w:rPr>
          <w:rFonts w:ascii="Cambria" w:eastAsia="Batang" w:hAnsi="Cambria" w:cs="Arial"/>
          <w:bCs/>
          <w:sz w:val="22"/>
          <w:szCs w:val="20"/>
        </w:rPr>
        <w:t xml:space="preserve">Senator Area </w:t>
      </w:r>
      <w:r w:rsidR="003F0473" w:rsidRPr="003F0473">
        <w:rPr>
          <w:rFonts w:ascii="Cambria" w:eastAsia="Batang" w:hAnsi="Cambria" w:cs="Arial"/>
          <w:bCs/>
          <w:sz w:val="22"/>
          <w:szCs w:val="20"/>
        </w:rPr>
        <w:t xml:space="preserve">B, </w:t>
      </w:r>
      <w:r w:rsidR="00B0171D">
        <w:rPr>
          <w:rFonts w:ascii="Cambria" w:eastAsia="Batang" w:hAnsi="Cambria" w:cs="Arial"/>
          <w:bCs/>
          <w:sz w:val="22"/>
          <w:szCs w:val="20"/>
        </w:rPr>
        <w:t>Senator Area D</w:t>
      </w:r>
    </w:p>
    <w:p w14:paraId="26628B95" w14:textId="66B6423C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46891014" w14:textId="3C25EC9D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66E173F6" w14:textId="766BFBC9" w:rsidR="00685D8C" w:rsidRPr="00C437F6" w:rsidRDefault="00A050C5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5956924C" w14:textId="0AD19FC9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39A381DD" w14:textId="4192F370" w:rsidR="00B0171D" w:rsidRPr="00B0171D" w:rsidRDefault="00A050C5" w:rsidP="00B0171D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653B93D7" w14:textId="71B6EBE6" w:rsidR="00B0171D" w:rsidRPr="00B0171D" w:rsidRDefault="00B0171D" w:rsidP="00B0171D">
      <w:pPr>
        <w:pStyle w:val="ListParagraph"/>
        <w:numPr>
          <w:ilvl w:val="0"/>
          <w:numId w:val="46"/>
        </w:numPr>
        <w:rPr>
          <w:rFonts w:ascii="Cambria" w:eastAsia="Batang" w:hAnsi="Cambria" w:cs="Arial"/>
          <w:bCs/>
        </w:rPr>
      </w:pPr>
      <w:r w:rsidRPr="00B0171D">
        <w:rPr>
          <w:rFonts w:ascii="Cambria" w:eastAsia="Batang" w:hAnsi="Cambria" w:cs="Arial"/>
          <w:bCs/>
        </w:rPr>
        <w:t>Approval of Agenda</w:t>
      </w:r>
    </w:p>
    <w:p w14:paraId="7B55A4D7" w14:textId="6C53A023" w:rsidR="00685D8C" w:rsidRDefault="00C83A17" w:rsidP="00B0171D">
      <w:pPr>
        <w:pStyle w:val="ListParagraph"/>
        <w:numPr>
          <w:ilvl w:val="0"/>
          <w:numId w:val="46"/>
        </w:numPr>
        <w:tabs>
          <w:tab w:val="num" w:pos="720"/>
        </w:tabs>
        <w:rPr>
          <w:rFonts w:ascii="Cambria" w:hAnsi="Cambria" w:cs="Arial"/>
          <w:bCs/>
        </w:rPr>
      </w:pPr>
      <w:r w:rsidRPr="00B0171D">
        <w:rPr>
          <w:rFonts w:ascii="Cambria" w:hAnsi="Cambria" w:cs="Arial"/>
          <w:bCs/>
        </w:rPr>
        <w:t xml:space="preserve">Classified Senate </w:t>
      </w:r>
      <w:r w:rsidR="00D65C5B" w:rsidRPr="00B0171D">
        <w:rPr>
          <w:rFonts w:ascii="Cambria" w:hAnsi="Cambria" w:cs="Arial"/>
          <w:bCs/>
        </w:rPr>
        <w:t>M</w:t>
      </w:r>
      <w:r w:rsidRPr="00B0171D">
        <w:rPr>
          <w:rFonts w:ascii="Cambria" w:hAnsi="Cambria" w:cs="Arial"/>
          <w:bCs/>
        </w:rPr>
        <w:t xml:space="preserve">eeting </w:t>
      </w:r>
      <w:r w:rsidR="00A050C5" w:rsidRPr="00B0171D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CF0EF" wp14:editId="5E2A0E30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C053AC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B0171D" w:rsidRPr="00B0171D">
        <w:rPr>
          <w:rFonts w:ascii="Cambria" w:hAnsi="Cambria" w:cs="Arial"/>
          <w:bCs/>
        </w:rPr>
        <w:t>Minutes – Nov. 2</w:t>
      </w:r>
      <w:r w:rsidR="00B0171D" w:rsidRPr="00B0171D">
        <w:rPr>
          <w:rFonts w:ascii="Cambria" w:hAnsi="Cambria" w:cs="Arial"/>
          <w:bCs/>
          <w:vertAlign w:val="superscript"/>
        </w:rPr>
        <w:t>nd</w:t>
      </w:r>
      <w:r w:rsidR="00B0171D" w:rsidRPr="00B0171D">
        <w:rPr>
          <w:rFonts w:ascii="Cambria" w:hAnsi="Cambria" w:cs="Arial"/>
          <w:bCs/>
        </w:rPr>
        <w:t>, 2021</w:t>
      </w:r>
    </w:p>
    <w:p w14:paraId="5F335FD1" w14:textId="77777777" w:rsidR="00B0171D" w:rsidRPr="00B0171D" w:rsidRDefault="00B0171D" w:rsidP="00B0171D">
      <w:pPr>
        <w:pStyle w:val="ListParagraph"/>
        <w:tabs>
          <w:tab w:val="num" w:pos="720"/>
        </w:tabs>
        <w:ind w:left="1080"/>
        <w:rPr>
          <w:rFonts w:ascii="Cambria" w:hAnsi="Cambria" w:cs="Arial"/>
          <w:bCs/>
        </w:rPr>
      </w:pPr>
    </w:p>
    <w:p w14:paraId="19733360" w14:textId="4441EC06" w:rsidR="00685D8C" w:rsidRDefault="001356F8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 xml:space="preserve">Additional Items: </w:t>
      </w:r>
    </w:p>
    <w:p w14:paraId="30088A08" w14:textId="17CB3281" w:rsidR="001356F8" w:rsidRPr="001356F8" w:rsidRDefault="001356F8" w:rsidP="001356F8">
      <w:pPr>
        <w:pStyle w:val="ListParagraph"/>
        <w:numPr>
          <w:ilvl w:val="1"/>
          <w:numId w:val="10"/>
        </w:numPr>
        <w:rPr>
          <w:rFonts w:ascii="Cambria" w:hAnsi="Cambria" w:cs="Arial"/>
          <w:bCs/>
          <w:sz w:val="22"/>
          <w:szCs w:val="22"/>
        </w:rPr>
      </w:pPr>
      <w:r w:rsidRPr="001356F8">
        <w:rPr>
          <w:rFonts w:ascii="Cambria" w:hAnsi="Cambria" w:cs="Arial"/>
          <w:bCs/>
          <w:sz w:val="22"/>
          <w:szCs w:val="22"/>
        </w:rPr>
        <w:t>Equity</w:t>
      </w:r>
      <w:r>
        <w:rPr>
          <w:rFonts w:ascii="Cambria" w:hAnsi="Cambria" w:cs="Arial"/>
          <w:bCs/>
          <w:sz w:val="22"/>
          <w:szCs w:val="22"/>
        </w:rPr>
        <w:t>*</w:t>
      </w:r>
    </w:p>
    <w:p w14:paraId="0E4F575F" w14:textId="4F4FA1ED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21FE5DA9" w14:textId="7351D33E" w:rsidR="00685D8C" w:rsidRDefault="001A08D6" w:rsidP="001A08D6">
      <w:pPr>
        <w:pStyle w:val="ListParagraph"/>
        <w:numPr>
          <w:ilvl w:val="0"/>
          <w:numId w:val="10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041EAAA5" w14:textId="7189739B" w:rsidR="001A08D6" w:rsidRPr="001A08D6" w:rsidRDefault="001A08D6" w:rsidP="001A08D6">
      <w:pPr>
        <w:rPr>
          <w:rFonts w:ascii="Cambria" w:hAnsi="Cambria" w:cs="Arial"/>
          <w:b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2691"/>
        <w:gridCol w:w="2223"/>
        <w:gridCol w:w="2223"/>
        <w:gridCol w:w="1935"/>
      </w:tblGrid>
      <w:tr w:rsidR="001A08D6" w14:paraId="19352B99" w14:textId="77777777" w:rsidTr="006207CF">
        <w:trPr>
          <w:trHeight w:val="317"/>
        </w:trPr>
        <w:tc>
          <w:tcPr>
            <w:tcW w:w="648" w:type="dxa"/>
          </w:tcPr>
          <w:p w14:paraId="71EE0154" w14:textId="70DB6018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2691" w:type="dxa"/>
          </w:tcPr>
          <w:p w14:paraId="52B5F717" w14:textId="7C18B64D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2223" w:type="dxa"/>
          </w:tcPr>
          <w:p w14:paraId="29D505B3" w14:textId="6818A12D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6C485D6C" w14:textId="7973B8B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1935" w:type="dxa"/>
          </w:tcPr>
          <w:p w14:paraId="2F34D752" w14:textId="1EA4ECF1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1A08D6" w14:paraId="1BF74EBD" w14:textId="77777777" w:rsidTr="006207CF">
        <w:trPr>
          <w:trHeight w:val="872"/>
        </w:trPr>
        <w:tc>
          <w:tcPr>
            <w:tcW w:w="648" w:type="dxa"/>
          </w:tcPr>
          <w:p w14:paraId="27D65903" w14:textId="62541D2E" w:rsidR="001A08D6" w:rsidRDefault="001A08D6" w:rsidP="001A08D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691" w:type="dxa"/>
          </w:tcPr>
          <w:p w14:paraId="6521860E" w14:textId="30C6F94C" w:rsidR="001A08D6" w:rsidRDefault="00CD7705" w:rsidP="00F62C38">
            <w:pPr>
              <w:rPr>
                <w:rFonts w:ascii="Cambria" w:hAnsi="Cambria"/>
              </w:rPr>
            </w:pPr>
            <w:r w:rsidRPr="00927EEE">
              <w:rPr>
                <w:rFonts w:ascii="Cambria" w:hAnsi="Cambria"/>
                <w:sz w:val="20"/>
                <w:szCs w:val="20"/>
              </w:rPr>
              <w:t>Continued discussion on Meeting Modality for Spring 2021.</w:t>
            </w:r>
          </w:p>
        </w:tc>
        <w:tc>
          <w:tcPr>
            <w:tcW w:w="2223" w:type="dxa"/>
          </w:tcPr>
          <w:p w14:paraId="5220A93E" w14:textId="6E02F0AD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223" w:type="dxa"/>
          </w:tcPr>
          <w:p w14:paraId="4A09876A" w14:textId="08894C5A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</w:t>
            </w:r>
          </w:p>
        </w:tc>
        <w:tc>
          <w:tcPr>
            <w:tcW w:w="1935" w:type="dxa"/>
          </w:tcPr>
          <w:p w14:paraId="6A9CC9D1" w14:textId="35B145B8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</w:t>
            </w:r>
          </w:p>
        </w:tc>
      </w:tr>
    </w:tbl>
    <w:p w14:paraId="677DC8AF" w14:textId="56DE68DB" w:rsidR="00644BE3" w:rsidRPr="00C437F6" w:rsidRDefault="00644BE3" w:rsidP="00C437F6">
      <w:pPr>
        <w:rPr>
          <w:rFonts w:ascii="Cambria" w:hAnsi="Cambria"/>
        </w:rPr>
      </w:pPr>
    </w:p>
    <w:p w14:paraId="776FEACA" w14:textId="424413FC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160F842" w14:textId="72442801" w:rsidR="00C83A17" w:rsidRDefault="001A08D6" w:rsidP="00C437F6">
      <w:pPr>
        <w:pStyle w:val="ListParagraph"/>
        <w:numPr>
          <w:ilvl w:val="0"/>
          <w:numId w:val="10"/>
        </w:numPr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346E31A" w14:textId="2B59C26F" w:rsidR="00C437F6" w:rsidRDefault="00C437F6" w:rsidP="00C437F6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158"/>
      </w:tblGrid>
      <w:tr w:rsidR="001A08D6" w14:paraId="64F49905" w14:textId="77777777" w:rsidTr="00F62C38">
        <w:tc>
          <w:tcPr>
            <w:tcW w:w="630" w:type="dxa"/>
          </w:tcPr>
          <w:p w14:paraId="1EF895F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419CCCCA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3769287E" w14:textId="6CFAC57F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58432BB6" w14:textId="6D27A5B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3F0B8F7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1A08D6" w14:paraId="2C769EBE" w14:textId="77777777" w:rsidTr="006C29EB">
        <w:trPr>
          <w:trHeight w:val="818"/>
        </w:trPr>
        <w:tc>
          <w:tcPr>
            <w:tcW w:w="630" w:type="dxa"/>
          </w:tcPr>
          <w:p w14:paraId="169F44FD" w14:textId="77777777" w:rsidR="001A08D6" w:rsidRDefault="001A08D6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20" w:type="dxa"/>
          </w:tcPr>
          <w:p w14:paraId="444C91AF" w14:textId="46573393" w:rsidR="001A08D6" w:rsidRPr="00927EEE" w:rsidRDefault="00CD7705" w:rsidP="00B017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Shared Governance Committee Change Process and Taskforce to Review Committee Changes – Information Item</w:t>
            </w:r>
          </w:p>
        </w:tc>
        <w:tc>
          <w:tcPr>
            <w:tcW w:w="1349" w:type="dxa"/>
          </w:tcPr>
          <w:p w14:paraId="487DD28C" w14:textId="5F65ECFB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158" w:type="dxa"/>
          </w:tcPr>
          <w:p w14:paraId="1E0314E3" w14:textId="4CBF0E45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</w:t>
            </w:r>
          </w:p>
        </w:tc>
        <w:tc>
          <w:tcPr>
            <w:tcW w:w="2158" w:type="dxa"/>
          </w:tcPr>
          <w:p w14:paraId="7744FBA3" w14:textId="764205AF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</w:t>
            </w:r>
          </w:p>
        </w:tc>
      </w:tr>
      <w:tr w:rsidR="001A08D6" w14:paraId="6BC5780D" w14:textId="77777777" w:rsidTr="006C29EB">
        <w:trPr>
          <w:trHeight w:val="1016"/>
        </w:trPr>
        <w:tc>
          <w:tcPr>
            <w:tcW w:w="630" w:type="dxa"/>
          </w:tcPr>
          <w:p w14:paraId="5DB4A2AF" w14:textId="77777777" w:rsidR="001A08D6" w:rsidRDefault="001A08D6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20" w:type="dxa"/>
          </w:tcPr>
          <w:p w14:paraId="6F6A00C5" w14:textId="61E2FA73" w:rsidR="001A08D6" w:rsidRPr="006C29EB" w:rsidRDefault="00CD7705" w:rsidP="00515993">
            <w:pPr>
              <w:rPr>
                <w:rFonts w:ascii="Cambria" w:hAnsi="Cambria"/>
                <w:sz w:val="20"/>
                <w:szCs w:val="20"/>
              </w:rPr>
            </w:pPr>
            <w:r w:rsidRPr="007C3F12">
              <w:rPr>
                <w:rFonts w:ascii="Cambria" w:hAnsi="Cambria"/>
                <w:sz w:val="20"/>
                <w:szCs w:val="20"/>
              </w:rPr>
              <w:t>College Membership in HACU, Hispanic Association of Colleges and Universities - Information Item</w:t>
            </w:r>
          </w:p>
        </w:tc>
        <w:tc>
          <w:tcPr>
            <w:tcW w:w="1349" w:type="dxa"/>
          </w:tcPr>
          <w:p w14:paraId="50AC7330" w14:textId="3C5336B1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1, 2</w:t>
            </w:r>
          </w:p>
        </w:tc>
        <w:tc>
          <w:tcPr>
            <w:tcW w:w="2158" w:type="dxa"/>
          </w:tcPr>
          <w:p w14:paraId="02CBC864" w14:textId="5FDE0B9B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II, III</w:t>
            </w:r>
          </w:p>
        </w:tc>
        <w:tc>
          <w:tcPr>
            <w:tcW w:w="2158" w:type="dxa"/>
          </w:tcPr>
          <w:p w14:paraId="5ED35089" w14:textId="353100D7" w:rsidR="001A08D6" w:rsidRDefault="00F62C38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</w:t>
            </w:r>
          </w:p>
        </w:tc>
      </w:tr>
      <w:tr w:rsidR="001A08D6" w14:paraId="709E371B" w14:textId="77777777" w:rsidTr="006C29EB">
        <w:trPr>
          <w:trHeight w:val="1043"/>
        </w:trPr>
        <w:tc>
          <w:tcPr>
            <w:tcW w:w="630" w:type="dxa"/>
          </w:tcPr>
          <w:p w14:paraId="119B8B3A" w14:textId="77777777" w:rsidR="001A08D6" w:rsidRDefault="001A08D6" w:rsidP="0051599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20" w:type="dxa"/>
          </w:tcPr>
          <w:p w14:paraId="3F25C2F1" w14:textId="51380C7D" w:rsidR="001A08D6" w:rsidRPr="007C3F12" w:rsidRDefault="00CD7705" w:rsidP="00B017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Participatory Governance Training Timeline and Topics Draft – Information Item</w:t>
            </w:r>
          </w:p>
        </w:tc>
        <w:tc>
          <w:tcPr>
            <w:tcW w:w="1349" w:type="dxa"/>
          </w:tcPr>
          <w:p w14:paraId="26B46148" w14:textId="3A5B6929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158" w:type="dxa"/>
          </w:tcPr>
          <w:p w14:paraId="7104D6CD" w14:textId="13157CA4" w:rsidR="001A08D6" w:rsidRDefault="00CD7705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IV</w:t>
            </w:r>
          </w:p>
        </w:tc>
        <w:tc>
          <w:tcPr>
            <w:tcW w:w="2158" w:type="dxa"/>
          </w:tcPr>
          <w:p w14:paraId="61B179E5" w14:textId="7C11B339" w:rsidR="001A08D6" w:rsidRDefault="00F62C38" w:rsidP="00CD77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Sean Young</w:t>
            </w:r>
          </w:p>
        </w:tc>
      </w:tr>
    </w:tbl>
    <w:p w14:paraId="63646EB9" w14:textId="071CB2BC" w:rsidR="001A08D6" w:rsidRPr="00C437F6" w:rsidRDefault="001A08D6" w:rsidP="00C437F6">
      <w:pPr>
        <w:pStyle w:val="ListParagraph"/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6C6B9C2A" w14:textId="77777777" w:rsidR="00CD7705" w:rsidRDefault="00CD7705" w:rsidP="00CD7705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5CDC1458" w14:textId="5A60A7FB" w:rsidR="00803824" w:rsidRDefault="00C83A17" w:rsidP="00CD7705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2694E6E0" w14:textId="77777777" w:rsidR="00FE3337" w:rsidRDefault="00FE3337" w:rsidP="00FE3337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3B3264ED" w14:textId="1E5AE678" w:rsidR="00B526AA" w:rsidRDefault="00B526AA" w:rsidP="0053647A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4B5FAA20" w14:textId="79771519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33C0D09C" w14:textId="5BEF69AE" w:rsidR="001A08D6" w:rsidRDefault="001A08D6" w:rsidP="001A08D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</w:p>
    <w:p w14:paraId="09BF01C8" w14:textId="77777777" w:rsidR="006C29EB" w:rsidRPr="006C29EB" w:rsidRDefault="006C29EB" w:rsidP="006C29EB">
      <w:pPr>
        <w:pStyle w:val="ListParagraph"/>
        <w:rPr>
          <w:rFonts w:ascii="Cambria" w:hAnsi="Cambria" w:cs="Arial"/>
          <w:b/>
          <w:sz w:val="22"/>
          <w:szCs w:val="22"/>
          <w:u w:val="single"/>
        </w:rPr>
      </w:pPr>
    </w:p>
    <w:p w14:paraId="0AB62BE7" w14:textId="2CED80F0" w:rsidR="006C29EB" w:rsidRPr="006C29EB" w:rsidRDefault="00FE3337" w:rsidP="006C29EB">
      <w:pPr>
        <w:pStyle w:val="ListParagraph"/>
        <w:numPr>
          <w:ilvl w:val="0"/>
          <w:numId w:val="44"/>
        </w:numPr>
        <w:tabs>
          <w:tab w:val="left" w:pos="1440"/>
          <w:tab w:val="left" w:pos="2880"/>
        </w:tabs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Dec. 7</w:t>
      </w:r>
      <w:r w:rsidR="006C29EB" w:rsidRPr="006C29EB">
        <w:rPr>
          <w:rFonts w:ascii="Cambria" w:hAnsi="Cambria" w:cs="Arial"/>
          <w:bCs/>
          <w:sz w:val="22"/>
          <w:szCs w:val="22"/>
          <w:vertAlign w:val="superscript"/>
        </w:rPr>
        <w:t>th</w:t>
      </w:r>
      <w:r w:rsidR="006C29EB" w:rsidRPr="006C29EB">
        <w:rPr>
          <w:rFonts w:ascii="Cambria" w:hAnsi="Cambria" w:cs="Arial"/>
          <w:bCs/>
          <w:sz w:val="22"/>
          <w:szCs w:val="22"/>
        </w:rPr>
        <w:t xml:space="preserve">, </w:t>
      </w:r>
      <w:proofErr w:type="gramStart"/>
      <w:r w:rsidR="006C29EB" w:rsidRPr="006C29EB">
        <w:rPr>
          <w:rFonts w:ascii="Cambria" w:hAnsi="Cambria" w:cs="Arial"/>
          <w:bCs/>
          <w:sz w:val="22"/>
          <w:szCs w:val="22"/>
        </w:rPr>
        <w:t>2021</w:t>
      </w:r>
      <w:proofErr w:type="gramEnd"/>
      <w:r w:rsidR="006C29EB" w:rsidRPr="006C29EB">
        <w:rPr>
          <w:rFonts w:ascii="Cambria" w:hAnsi="Cambria" w:cs="Arial"/>
          <w:bCs/>
          <w:sz w:val="22"/>
          <w:szCs w:val="22"/>
        </w:rPr>
        <w:t xml:space="preserve"> </w:t>
      </w:r>
      <w:r w:rsidR="006C29EB">
        <w:rPr>
          <w:rFonts w:ascii="Cambria" w:hAnsi="Cambria" w:cs="Arial"/>
          <w:bCs/>
          <w:sz w:val="22"/>
          <w:szCs w:val="22"/>
        </w:rPr>
        <w:t xml:space="preserve">at </w:t>
      </w:r>
      <w:r w:rsidR="006C29EB" w:rsidRPr="006C29EB">
        <w:rPr>
          <w:rFonts w:ascii="Cambria" w:hAnsi="Cambria" w:cs="Arial"/>
          <w:bCs/>
          <w:sz w:val="22"/>
          <w:szCs w:val="22"/>
        </w:rPr>
        <w:t xml:space="preserve">11:00 AM -12:00 PM </w:t>
      </w:r>
    </w:p>
    <w:p w14:paraId="30FC7A81" w14:textId="77777777" w:rsidR="001356F8" w:rsidRPr="001356F8" w:rsidRDefault="001356F8" w:rsidP="001356F8">
      <w:pPr>
        <w:pStyle w:val="ListParagraph"/>
        <w:rPr>
          <w:rFonts w:ascii="Cambria" w:hAnsi="Cambria" w:cs="Arial"/>
          <w:b/>
          <w:sz w:val="22"/>
          <w:szCs w:val="22"/>
          <w:u w:val="single"/>
        </w:rPr>
      </w:pPr>
    </w:p>
    <w:p w14:paraId="64DDFCDC" w14:textId="27F12A33" w:rsid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/>
          <w:u w:val="single"/>
        </w:rPr>
      </w:pPr>
    </w:p>
    <w:p w14:paraId="69ECAE02" w14:textId="56F96625" w:rsidR="001356F8" w:rsidRP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Cs/>
        </w:rPr>
      </w:pPr>
      <w:r w:rsidRPr="001356F8">
        <w:rPr>
          <w:rFonts w:ascii="Cambria" w:hAnsi="Cambria" w:cs="Arial"/>
          <w:bCs/>
        </w:rPr>
        <w:t>*Additional Items will be addressed based upon time.</w:t>
      </w:r>
    </w:p>
    <w:p w14:paraId="659B406D" w14:textId="100384CB" w:rsidR="001356F8" w:rsidRDefault="001356F8" w:rsidP="001356F8">
      <w:pPr>
        <w:tabs>
          <w:tab w:val="left" w:pos="1440"/>
          <w:tab w:val="left" w:pos="2880"/>
        </w:tabs>
        <w:rPr>
          <w:rFonts w:ascii="Cambria" w:hAnsi="Cambria" w:cs="Arial"/>
          <w:b/>
          <w:u w:val="single"/>
        </w:rPr>
      </w:pPr>
    </w:p>
    <w:p w14:paraId="2AB11C67" w14:textId="735D65F0" w:rsidR="0069321F" w:rsidRPr="009114DA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4D3A97C9" w14:textId="646F37EF" w:rsidR="00D70DBB" w:rsidRDefault="00866E46" w:rsidP="003C211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41FB4" wp14:editId="198799A3">
                <wp:simplePos x="0" y="0"/>
                <wp:positionH relativeFrom="margin">
                  <wp:posOffset>-54865</wp:posOffset>
                </wp:positionH>
                <wp:positionV relativeFrom="paragraph">
                  <wp:posOffset>154483</wp:posOffset>
                </wp:positionV>
                <wp:extent cx="7051853" cy="1743075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9131" id="Rectangle 3" o:spid="_x0000_s1026" style="position:absolute;margin-left:-4.3pt;margin-top:12.15pt;width:555.2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="00D70DBB"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39971100" w14:textId="4C5001CE" w:rsidR="00C325D2" w:rsidRPr="009114DA" w:rsidRDefault="00C325D2" w:rsidP="00D70DBB">
      <w:pPr>
        <w:tabs>
          <w:tab w:val="left" w:pos="1150"/>
        </w:tabs>
        <w:rPr>
          <w:rFonts w:ascii="Cambria" w:hAnsi="Cambria"/>
          <w:b/>
          <w:bCs/>
          <w:sz w:val="20"/>
          <w:szCs w:val="20"/>
        </w:rPr>
      </w:pPr>
    </w:p>
    <w:p w14:paraId="3E19748A" w14:textId="433EE110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719894E4" w14:textId="134AE4A3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0594E8F7" w14:textId="52584B26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3CBA0234" w14:textId="02DBFA0F" w:rsidR="00F23FB0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4DD225FB" w14:textId="6A498017" w:rsidR="0069321F" w:rsidRPr="009114DA" w:rsidRDefault="00F23FB0" w:rsidP="00F23FB0">
      <w:pPr>
        <w:pStyle w:val="ListParagraph"/>
        <w:numPr>
          <w:ilvl w:val="0"/>
          <w:numId w:val="22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16C15A03" w14:textId="4CE05FE3" w:rsidR="00D70DBB" w:rsidRDefault="00D70DBB" w:rsidP="00D70DBB">
      <w:pPr>
        <w:rPr>
          <w:rFonts w:ascii="Cambria" w:hAnsi="Cambria"/>
        </w:rPr>
      </w:pPr>
    </w:p>
    <w:p w14:paraId="479E8CA1" w14:textId="19C1C7D5" w:rsidR="00DC044E" w:rsidRDefault="00DC044E" w:rsidP="00DC044E"/>
    <w:p w14:paraId="28567747" w14:textId="7A298F09" w:rsidR="00807DE7" w:rsidRDefault="00807DE7" w:rsidP="003C2115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>ACCJC Accreditation Standards (Adopted June 2014)</w:t>
      </w:r>
    </w:p>
    <w:p w14:paraId="276136E5" w14:textId="77777777" w:rsidR="00807DE7" w:rsidRDefault="00807DE7" w:rsidP="00807DE7">
      <w:pPr>
        <w:jc w:val="center"/>
        <w:rPr>
          <w:b/>
          <w:bCs/>
          <w:sz w:val="20"/>
          <w:szCs w:val="20"/>
        </w:rPr>
      </w:pPr>
    </w:p>
    <w:p w14:paraId="4ADDFD5D" w14:textId="32801101" w:rsidR="00807DE7" w:rsidRPr="00807DE7" w:rsidRDefault="00807DE7" w:rsidP="00807DE7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 xml:space="preserve">Mission, Academic Quality and Instructional Effectiveness, and Integrity. </w:t>
      </w:r>
    </w:p>
    <w:p w14:paraId="3F5BB840" w14:textId="0A06D2E1" w:rsidR="00807DE7" w:rsidRPr="00807DE7" w:rsidRDefault="00807DE7" w:rsidP="00807DE7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 xml:space="preserve">Student Learning Programs and Support Services. </w:t>
      </w:r>
    </w:p>
    <w:p w14:paraId="0365F9B7" w14:textId="754CEFBE" w:rsidR="00807DE7" w:rsidRPr="00807DE7" w:rsidRDefault="00807DE7" w:rsidP="00807DE7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>Resources</w:t>
      </w:r>
    </w:p>
    <w:p w14:paraId="3A1C0175" w14:textId="2396554B" w:rsidR="003C2115" w:rsidRPr="00807DE7" w:rsidRDefault="00807DE7" w:rsidP="00807DE7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807DE7">
        <w:rPr>
          <w:sz w:val="20"/>
          <w:szCs w:val="20"/>
        </w:rPr>
        <w:t>Leadership and Governance.</w:t>
      </w:r>
    </w:p>
    <w:p w14:paraId="1C98AE12" w14:textId="3947FE4C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195F" w14:textId="77777777" w:rsidR="00F3457E" w:rsidRDefault="00F3457E" w:rsidP="00C72EB7">
      <w:r>
        <w:separator/>
      </w:r>
    </w:p>
  </w:endnote>
  <w:endnote w:type="continuationSeparator" w:id="0">
    <w:p w14:paraId="341F7448" w14:textId="77777777" w:rsidR="00F3457E" w:rsidRDefault="00F3457E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ABED" w14:textId="77777777" w:rsidR="00F3457E" w:rsidRDefault="00F3457E" w:rsidP="00C72EB7">
      <w:r>
        <w:separator/>
      </w:r>
    </w:p>
  </w:footnote>
  <w:footnote w:type="continuationSeparator" w:id="0">
    <w:p w14:paraId="1DA460C2" w14:textId="77777777" w:rsidR="00F3457E" w:rsidRDefault="00F3457E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55443A"/>
    <w:multiLevelType w:val="hybridMultilevel"/>
    <w:tmpl w:val="BCEE700C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04B"/>
    <w:multiLevelType w:val="hybridMultilevel"/>
    <w:tmpl w:val="581C969C"/>
    <w:lvl w:ilvl="0" w:tplc="6CCA1B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91149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27E1"/>
    <w:multiLevelType w:val="hybridMultilevel"/>
    <w:tmpl w:val="B15A4174"/>
    <w:lvl w:ilvl="0" w:tplc="B5AE4D52">
      <w:start w:val="8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76D"/>
    <w:multiLevelType w:val="hybridMultilevel"/>
    <w:tmpl w:val="81B44D3A"/>
    <w:lvl w:ilvl="0" w:tplc="DF9AC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FA64CE"/>
    <w:multiLevelType w:val="hybridMultilevel"/>
    <w:tmpl w:val="61C8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3A5A"/>
    <w:multiLevelType w:val="hybridMultilevel"/>
    <w:tmpl w:val="9B3A8E14"/>
    <w:lvl w:ilvl="0" w:tplc="638A4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8D6C40"/>
    <w:multiLevelType w:val="hybridMultilevel"/>
    <w:tmpl w:val="F25C646C"/>
    <w:lvl w:ilvl="0" w:tplc="B78C03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A18A0"/>
    <w:multiLevelType w:val="hybridMultilevel"/>
    <w:tmpl w:val="16B8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DB6"/>
    <w:multiLevelType w:val="hybridMultilevel"/>
    <w:tmpl w:val="6142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5F12"/>
    <w:multiLevelType w:val="hybridMultilevel"/>
    <w:tmpl w:val="1DBE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331AB"/>
    <w:multiLevelType w:val="hybridMultilevel"/>
    <w:tmpl w:val="1638E8EC"/>
    <w:lvl w:ilvl="0" w:tplc="BED44E3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6691E"/>
    <w:multiLevelType w:val="hybridMultilevel"/>
    <w:tmpl w:val="ECB68B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15D7F1D"/>
    <w:multiLevelType w:val="hybridMultilevel"/>
    <w:tmpl w:val="A950CCE2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B11C5E"/>
    <w:multiLevelType w:val="hybridMultilevel"/>
    <w:tmpl w:val="EEFE2D66"/>
    <w:lvl w:ilvl="0" w:tplc="57583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372A23"/>
    <w:multiLevelType w:val="hybridMultilevel"/>
    <w:tmpl w:val="CF5A28F6"/>
    <w:lvl w:ilvl="0" w:tplc="C3345F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384E11"/>
    <w:multiLevelType w:val="hybridMultilevel"/>
    <w:tmpl w:val="437A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761E0"/>
    <w:multiLevelType w:val="hybridMultilevel"/>
    <w:tmpl w:val="8886F2A2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25AE2"/>
    <w:multiLevelType w:val="hybridMultilevel"/>
    <w:tmpl w:val="DF4E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21CE2"/>
    <w:multiLevelType w:val="multilevel"/>
    <w:tmpl w:val="C4F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17817"/>
    <w:multiLevelType w:val="hybridMultilevel"/>
    <w:tmpl w:val="D760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0474E"/>
    <w:multiLevelType w:val="hybridMultilevel"/>
    <w:tmpl w:val="6C6019DE"/>
    <w:lvl w:ilvl="0" w:tplc="A26A4F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052CF"/>
    <w:multiLevelType w:val="hybridMultilevel"/>
    <w:tmpl w:val="1B82918E"/>
    <w:lvl w:ilvl="0" w:tplc="639CD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495702"/>
    <w:multiLevelType w:val="hybridMultilevel"/>
    <w:tmpl w:val="61B8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C3A23"/>
    <w:multiLevelType w:val="hybridMultilevel"/>
    <w:tmpl w:val="26EA25C6"/>
    <w:lvl w:ilvl="0" w:tplc="E6ECA638">
      <w:start w:val="8"/>
      <w:numFmt w:val="upperLetter"/>
      <w:lvlText w:val="%1."/>
      <w:lvlJc w:val="left"/>
      <w:pPr>
        <w:ind w:left="1080" w:hanging="360"/>
      </w:pPr>
      <w:rPr>
        <w:rFonts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F14BB"/>
    <w:multiLevelType w:val="hybridMultilevel"/>
    <w:tmpl w:val="F5C8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703CC"/>
    <w:multiLevelType w:val="hybridMultilevel"/>
    <w:tmpl w:val="98A45B3E"/>
    <w:lvl w:ilvl="0" w:tplc="1BFC0B9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B954A2"/>
    <w:multiLevelType w:val="hybridMultilevel"/>
    <w:tmpl w:val="3494590C"/>
    <w:lvl w:ilvl="0" w:tplc="040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BA5A46"/>
    <w:multiLevelType w:val="hybridMultilevel"/>
    <w:tmpl w:val="51B62ABC"/>
    <w:lvl w:ilvl="0" w:tplc="11788F6A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716DB0"/>
    <w:multiLevelType w:val="hybridMultilevel"/>
    <w:tmpl w:val="33C0C452"/>
    <w:lvl w:ilvl="0" w:tplc="94F27C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344D02"/>
    <w:multiLevelType w:val="hybridMultilevel"/>
    <w:tmpl w:val="5D60C3DA"/>
    <w:lvl w:ilvl="0" w:tplc="899EFF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606D27"/>
    <w:multiLevelType w:val="hybridMultilevel"/>
    <w:tmpl w:val="B4DE426E"/>
    <w:lvl w:ilvl="0" w:tplc="C77EBAD4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713979"/>
    <w:multiLevelType w:val="hybridMultilevel"/>
    <w:tmpl w:val="D94851D8"/>
    <w:lvl w:ilvl="0" w:tplc="5FC47BC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5F4970"/>
    <w:multiLevelType w:val="hybridMultilevel"/>
    <w:tmpl w:val="40C05462"/>
    <w:lvl w:ilvl="0" w:tplc="F55096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1728FD"/>
    <w:multiLevelType w:val="hybridMultilevel"/>
    <w:tmpl w:val="3648F90E"/>
    <w:lvl w:ilvl="0" w:tplc="8042E4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764D4"/>
    <w:multiLevelType w:val="hybridMultilevel"/>
    <w:tmpl w:val="EC307B72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51C44F1A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F6020"/>
    <w:multiLevelType w:val="hybridMultilevel"/>
    <w:tmpl w:val="0C44121C"/>
    <w:lvl w:ilvl="0" w:tplc="1E285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9E6DCD"/>
    <w:multiLevelType w:val="hybridMultilevel"/>
    <w:tmpl w:val="2EDE4F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45065F"/>
    <w:multiLevelType w:val="hybridMultilevel"/>
    <w:tmpl w:val="77B847B6"/>
    <w:lvl w:ilvl="0" w:tplc="78EEA9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5F4191"/>
    <w:multiLevelType w:val="hybridMultilevel"/>
    <w:tmpl w:val="D206ECF2"/>
    <w:lvl w:ilvl="0" w:tplc="F33C01CA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B281333"/>
    <w:multiLevelType w:val="hybridMultilevel"/>
    <w:tmpl w:val="A4CC9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6E08BB"/>
    <w:multiLevelType w:val="hybridMultilevel"/>
    <w:tmpl w:val="AA48FD66"/>
    <w:lvl w:ilvl="0" w:tplc="0D2CB21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5"/>
  </w:num>
  <w:num w:numId="8">
    <w:abstractNumId w:val="27"/>
  </w:num>
  <w:num w:numId="9">
    <w:abstractNumId w:val="30"/>
  </w:num>
  <w:num w:numId="10">
    <w:abstractNumId w:val="38"/>
  </w:num>
  <w:num w:numId="11">
    <w:abstractNumId w:val="31"/>
  </w:num>
  <w:num w:numId="12">
    <w:abstractNumId w:val="8"/>
  </w:num>
  <w:num w:numId="13">
    <w:abstractNumId w:val="16"/>
  </w:num>
  <w:num w:numId="14">
    <w:abstractNumId w:val="4"/>
  </w:num>
  <w:num w:numId="15">
    <w:abstractNumId w:val="26"/>
  </w:num>
  <w:num w:numId="16">
    <w:abstractNumId w:val="1"/>
  </w:num>
  <w:num w:numId="17">
    <w:abstractNumId w:val="32"/>
  </w:num>
  <w:num w:numId="18">
    <w:abstractNumId w:val="4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"/>
  </w:num>
  <w:num w:numId="22">
    <w:abstractNumId w:val="28"/>
  </w:num>
  <w:num w:numId="23">
    <w:abstractNumId w:val="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</w:num>
  <w:num w:numId="2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1"/>
  </w:num>
  <w:num w:numId="30">
    <w:abstractNumId w:val="5"/>
  </w:num>
  <w:num w:numId="31">
    <w:abstractNumId w:val="24"/>
  </w:num>
  <w:num w:numId="32">
    <w:abstractNumId w:val="3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3"/>
  </w:num>
  <w:num w:numId="36">
    <w:abstractNumId w:val="1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2"/>
  </w:num>
  <w:num w:numId="40">
    <w:abstractNumId w:val="18"/>
  </w:num>
  <w:num w:numId="41">
    <w:abstractNumId w:val="23"/>
  </w:num>
  <w:num w:numId="42">
    <w:abstractNumId w:val="37"/>
  </w:num>
  <w:num w:numId="43">
    <w:abstractNumId w:val="33"/>
  </w:num>
  <w:num w:numId="44">
    <w:abstractNumId w:val="14"/>
  </w:num>
  <w:num w:numId="45">
    <w:abstractNumId w:val="0"/>
  </w:num>
  <w:num w:numId="46">
    <w:abstractNumId w:val="43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B4"/>
    <w:rsid w:val="00005312"/>
    <w:rsid w:val="00023788"/>
    <w:rsid w:val="00036CC9"/>
    <w:rsid w:val="00084AC6"/>
    <w:rsid w:val="000A7288"/>
    <w:rsid w:val="000C4879"/>
    <w:rsid w:val="000D2B10"/>
    <w:rsid w:val="00131145"/>
    <w:rsid w:val="0013442E"/>
    <w:rsid w:val="001356F8"/>
    <w:rsid w:val="00162976"/>
    <w:rsid w:val="001643B0"/>
    <w:rsid w:val="00176234"/>
    <w:rsid w:val="00191654"/>
    <w:rsid w:val="00193081"/>
    <w:rsid w:val="001A08D6"/>
    <w:rsid w:val="001B04D9"/>
    <w:rsid w:val="00220C06"/>
    <w:rsid w:val="002256E2"/>
    <w:rsid w:val="002826AF"/>
    <w:rsid w:val="0028466E"/>
    <w:rsid w:val="00296DF5"/>
    <w:rsid w:val="002A3DE4"/>
    <w:rsid w:val="002B2FFA"/>
    <w:rsid w:val="002C3CD7"/>
    <w:rsid w:val="002D500D"/>
    <w:rsid w:val="002D6277"/>
    <w:rsid w:val="00330B1C"/>
    <w:rsid w:val="00331390"/>
    <w:rsid w:val="00331659"/>
    <w:rsid w:val="00343CD6"/>
    <w:rsid w:val="00351C39"/>
    <w:rsid w:val="00373A3A"/>
    <w:rsid w:val="0037552E"/>
    <w:rsid w:val="003A4493"/>
    <w:rsid w:val="003C2115"/>
    <w:rsid w:val="003D1372"/>
    <w:rsid w:val="003D175F"/>
    <w:rsid w:val="003D73B4"/>
    <w:rsid w:val="003E5E9E"/>
    <w:rsid w:val="003F0473"/>
    <w:rsid w:val="00431583"/>
    <w:rsid w:val="00432C3C"/>
    <w:rsid w:val="00456A1D"/>
    <w:rsid w:val="004618B3"/>
    <w:rsid w:val="00470C49"/>
    <w:rsid w:val="004B1DE8"/>
    <w:rsid w:val="004C443D"/>
    <w:rsid w:val="004D6937"/>
    <w:rsid w:val="004D7B5F"/>
    <w:rsid w:val="004E6915"/>
    <w:rsid w:val="004F394B"/>
    <w:rsid w:val="00511C24"/>
    <w:rsid w:val="00514E6B"/>
    <w:rsid w:val="0052319D"/>
    <w:rsid w:val="00524EC0"/>
    <w:rsid w:val="00525590"/>
    <w:rsid w:val="0053647A"/>
    <w:rsid w:val="00544142"/>
    <w:rsid w:val="00544B83"/>
    <w:rsid w:val="005544CF"/>
    <w:rsid w:val="005D3142"/>
    <w:rsid w:val="005D330E"/>
    <w:rsid w:val="005F3089"/>
    <w:rsid w:val="005F5780"/>
    <w:rsid w:val="006207CF"/>
    <w:rsid w:val="00625B64"/>
    <w:rsid w:val="00644BE3"/>
    <w:rsid w:val="006636EF"/>
    <w:rsid w:val="00685D8C"/>
    <w:rsid w:val="0069321F"/>
    <w:rsid w:val="006B7996"/>
    <w:rsid w:val="006C29EB"/>
    <w:rsid w:val="00750A78"/>
    <w:rsid w:val="00751772"/>
    <w:rsid w:val="00792AB2"/>
    <w:rsid w:val="00795C09"/>
    <w:rsid w:val="007972BA"/>
    <w:rsid w:val="007C1CBB"/>
    <w:rsid w:val="007C3F12"/>
    <w:rsid w:val="007F7687"/>
    <w:rsid w:val="00801EAA"/>
    <w:rsid w:val="00803824"/>
    <w:rsid w:val="00807DE7"/>
    <w:rsid w:val="00813B86"/>
    <w:rsid w:val="00866BFF"/>
    <w:rsid w:val="00866E46"/>
    <w:rsid w:val="00876900"/>
    <w:rsid w:val="008936A3"/>
    <w:rsid w:val="00894B27"/>
    <w:rsid w:val="008E0082"/>
    <w:rsid w:val="008E57A5"/>
    <w:rsid w:val="008F0B01"/>
    <w:rsid w:val="008F25B3"/>
    <w:rsid w:val="009114DA"/>
    <w:rsid w:val="00927EEE"/>
    <w:rsid w:val="00943372"/>
    <w:rsid w:val="00967DA8"/>
    <w:rsid w:val="00970740"/>
    <w:rsid w:val="00975F46"/>
    <w:rsid w:val="009A643B"/>
    <w:rsid w:val="009D0765"/>
    <w:rsid w:val="00A02903"/>
    <w:rsid w:val="00A050C5"/>
    <w:rsid w:val="00A11E2D"/>
    <w:rsid w:val="00A433E6"/>
    <w:rsid w:val="00A65C4B"/>
    <w:rsid w:val="00AB7990"/>
    <w:rsid w:val="00AE1A03"/>
    <w:rsid w:val="00AE4809"/>
    <w:rsid w:val="00B00A4F"/>
    <w:rsid w:val="00B0171D"/>
    <w:rsid w:val="00B1034B"/>
    <w:rsid w:val="00B137F1"/>
    <w:rsid w:val="00B526AA"/>
    <w:rsid w:val="00C325D2"/>
    <w:rsid w:val="00C437F6"/>
    <w:rsid w:val="00C72EB7"/>
    <w:rsid w:val="00C81A38"/>
    <w:rsid w:val="00C83A17"/>
    <w:rsid w:val="00CA3DA2"/>
    <w:rsid w:val="00CD4478"/>
    <w:rsid w:val="00CD7705"/>
    <w:rsid w:val="00CF2F06"/>
    <w:rsid w:val="00CF567A"/>
    <w:rsid w:val="00D07C08"/>
    <w:rsid w:val="00D343C4"/>
    <w:rsid w:val="00D44A26"/>
    <w:rsid w:val="00D65C5B"/>
    <w:rsid w:val="00D70DBB"/>
    <w:rsid w:val="00D77A64"/>
    <w:rsid w:val="00D85732"/>
    <w:rsid w:val="00D974F8"/>
    <w:rsid w:val="00DB6065"/>
    <w:rsid w:val="00DC044E"/>
    <w:rsid w:val="00DC443B"/>
    <w:rsid w:val="00DC45BE"/>
    <w:rsid w:val="00DE2F0A"/>
    <w:rsid w:val="00E04A67"/>
    <w:rsid w:val="00E507A6"/>
    <w:rsid w:val="00E74185"/>
    <w:rsid w:val="00E7715A"/>
    <w:rsid w:val="00E95C83"/>
    <w:rsid w:val="00EA66E7"/>
    <w:rsid w:val="00EC2904"/>
    <w:rsid w:val="00ED2071"/>
    <w:rsid w:val="00ED6B1D"/>
    <w:rsid w:val="00EE4864"/>
    <w:rsid w:val="00F23FB0"/>
    <w:rsid w:val="00F343B1"/>
    <w:rsid w:val="00F3457E"/>
    <w:rsid w:val="00F56815"/>
    <w:rsid w:val="00F62C38"/>
    <w:rsid w:val="00FB1D2E"/>
    <w:rsid w:val="00FD6889"/>
    <w:rsid w:val="00FE3337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06B9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C859-5FA1-42F2-8AA6-E0AD4487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Sean Young</cp:lastModifiedBy>
  <cp:revision>3</cp:revision>
  <dcterms:created xsi:type="dcterms:W3CDTF">2021-11-12T14:33:00Z</dcterms:created>
  <dcterms:modified xsi:type="dcterms:W3CDTF">2021-11-12T14:53:00Z</dcterms:modified>
</cp:coreProperties>
</file>